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440001-2023-21743</w:t>
      </w:r>
    </w:p>
    <w:p>
      <w:pPr>
        <w:jc w:val="center"/>
      </w:pPr>
      <w:r>
        <w:rPr>
          <w:b/>
          <w:sz w:val="24"/>
        </w:rPr>
        <w:t>采购项目编号：</w:t>
      </w:r>
      <w:r>
        <w:rPr>
          <w:b/>
          <w:sz w:val="24"/>
        </w:rPr>
        <w:t>440001202322353</w:t>
      </w:r>
    </w:p>
    <w:p>
      <w:pPr>
        <w:jc w:val="center"/>
      </w:pPr>
      <w:r>
        <w:rPr>
          <w:b/>
          <w:sz w:val="24"/>
        </w:rPr>
        <w:t>项目名称：</w:t>
      </w:r>
      <w:r>
        <w:rPr>
          <w:b/>
          <w:sz w:val="24"/>
        </w:rPr>
        <w:t>广东省市场监督管理局商品数字化与物联网编码应用科普基地自动化静物产品拍摄系统</w:t>
      </w:r>
    </w:p>
    <w:p>
      <w:pPr>
        <w:jc w:val="center"/>
      </w:pPr>
      <w:r>
        <w:rPr>
          <w:b/>
          <w:sz w:val="24"/>
        </w:rPr>
        <w:t>采购人：</w:t>
      </w:r>
      <w:r>
        <w:rPr>
          <w:b/>
          <w:sz w:val="24"/>
        </w:rPr>
        <w:t>广东省佛山市质量技术监督标准与编码所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广东省佛山市质量技术监督标准与编码所</w:t>
      </w:r>
      <w:r>
        <w:rPr/>
        <w:t>的委托，采用</w:t>
      </w:r>
      <w:r>
        <w:rPr/>
        <w:t>公开招标</w:t>
      </w:r>
      <w:r>
        <w:rPr/>
        <w:t>方式组织采购</w:t>
      </w:r>
      <w:r>
        <w:rPr/>
        <w:t>广东省市场监督管理局商品数字化与物联网编码应用科普基地自动化静物产品拍摄系统</w:t>
      </w:r>
      <w:r>
        <w:rPr/>
        <w:t>。欢迎符合资格条件的国内供应商参加投标。</w:t>
      </w:r>
    </w:p>
    <w:p>
      <w:r>
        <w:rPr>
          <w:b/>
          <w:sz w:val="28"/>
        </w:rPr>
        <w:t>一.项目概述</w:t>
      </w:r>
    </w:p>
    <w:p>
      <w:r>
        <w:rPr>
          <w:b/>
          <w:sz w:val="24"/>
        </w:rPr>
        <w:t>1.名称与编号</w:t>
      </w:r>
    </w:p>
    <w:p>
      <w:pPr>
        <w:ind w:firstLine="480"/>
      </w:pPr>
      <w:r>
        <w:rPr/>
        <w:t>项目名称：</w:t>
      </w:r>
      <w:r>
        <w:rPr/>
        <w:t>广东省市场监督管理局商品数字化与物联网编码应用科普基地自动化静物产品拍摄系统</w:t>
      </w:r>
    </w:p>
    <w:p>
      <w:pPr>
        <w:ind w:firstLine="480"/>
      </w:pPr>
      <w:r>
        <w:rPr/>
        <w:t>采购计划编号：</w:t>
      </w:r>
      <w:r>
        <w:rPr/>
        <w:t>440001-2023-21743</w:t>
      </w:r>
    </w:p>
    <w:p>
      <w:pPr>
        <w:ind w:firstLine="480"/>
      </w:pPr>
      <w:r>
        <w:rPr/>
        <w:t>采购项目编号：</w:t>
      </w:r>
      <w:r>
        <w:rPr/>
        <w:t>440001202322353</w:t>
      </w:r>
    </w:p>
    <w:p>
      <w:pPr>
        <w:ind w:firstLine="480"/>
      </w:pPr>
      <w:r>
        <w:rPr/>
        <w:t>采购方式：</w:t>
      </w:r>
      <w:r>
        <w:rPr/>
        <w:t>公开招标</w:t>
      </w:r>
    </w:p>
    <w:p>
      <w:pPr>
        <w:ind w:firstLine="480"/>
      </w:pPr>
      <w:r>
        <w:rPr/>
        <w:t>预算金额：</w:t>
      </w:r>
      <w:r>
        <w:rPr/>
        <w:t>250,000.00</w:t>
      </w:r>
      <w:r>
        <w:rPr/>
        <w:t>元</w:t>
      </w:r>
    </w:p>
    <w:p>
      <w:r>
        <w:rPr>
          <w:b/>
          <w:sz w:val="24"/>
        </w:rPr>
        <w:t>2.项目内容及需求情况（采购项目技术规格、参数及要求）</w:t>
      </w:r>
    </w:p>
    <w:p>
      <w:pPr>
        <w:ind w:firstLine="480"/>
      </w:pPr>
    </w:p>
    <w:p/>
    <w:p>
      <w:r>
        <w:rPr/>
        <w:t>采购包1(广东省市场监督管理局商品数字化与物联网编码应用科普基地自动化静物产品拍摄系统):</w:t>
      </w:r>
    </w:p>
    <w:p>
      <w:r>
        <w:rPr/>
        <w:t>采购包预算金额：250,000.00元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其他照相机及器材</w:t>
            </w:r>
          </w:p>
        </w:tc>
        <w:tc>
          <w:tcPr>
            <w:tcW w:type="dxa" w:w="2136"/>
          </w:tcPr>
          <w:p>
            <w:r>
              <w:rPr/>
              <w:t>广东省市场监督管理局商品数字化与物联网编码应用科普基地自动化静物产品拍摄系统</w:t>
            </w:r>
          </w:p>
        </w:tc>
        <w:tc>
          <w:tcPr>
            <w:tcW w:type="dxa" w:w="1187"/>
          </w:tcPr>
          <w:p>
            <w:r>
              <w:rPr/>
              <w:t>1.00(套)</w:t>
            </w:r>
          </w:p>
        </w:tc>
        <w:tc>
          <w:tcPr>
            <w:tcW w:type="dxa" w:w="1187"/>
          </w:tcPr>
          <w:p>
            <w:r>
              <w:rPr/>
              <w:t>详见第二章</w:t>
            </w:r>
          </w:p>
        </w:tc>
        <w:tc>
          <w:tcPr>
            <w:tcW w:type="dxa" w:w="1187"/>
          </w:tcPr>
          <w:p>
            <w:r>
              <w:rPr/>
              <w:t>是</w:t>
            </w:r>
          </w:p>
        </w:tc>
      </w:tr>
    </w:tbl>
    <w:p/>
    <w:p>
      <w:r>
        <w:rPr/>
        <w:t>本采购包不接受联合体投标</w:t>
      </w:r>
    </w:p>
    <w:p/>
    <w:p>
      <w:r>
        <w:rPr/>
        <w:t>合同履行期限：2023年10月15日前完成安装调试并具备验收条件，如因进口产品过关入境手续造成延误，在采购人许可情况下可作相应调整。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供应商为自然人的提供自然人身份证明复印件；如国家另有规定的，则从其定。【分支机构投标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p/>
    <w:p>
      <w:r>
        <w:rPr/>
        <w:t>2）有依法缴纳税收和社会保障资金的良好记录：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p/>
    <w:p>
      <w:r>
        <w:rPr/>
        <w:t>3）具有良好的商业信誉和健全的财务会计制度：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p/>
    <w:p>
      <w:r>
        <w:rPr/>
        <w:t>4）履行合同所必需的设备和专业技术能力：提供履行合同所必需的设备及专业技术情况表或相关承诺（自拟格式）。</w:t>
      </w:r>
    </w:p>
    <w:p/>
    <w:p>
      <w:r>
        <w:rPr/>
        <w:t>5）参加采购活动前3年内，在经营活动中没有重大违法记录：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采购包1（广东省市场监督管理局商品数字化与物联网编码应用科普基地自动化静物产品拍摄系统）：</w:t>
      </w:r>
      <w:r>
        <w:rPr/>
        <w:t>采购包不属于专门面向中小企业采购项目。</w:t>
      </w:r>
    </w:p>
    <w:p/>
    <w:p>
      <w:r>
        <w:rPr>
          <w:b/>
          <w:sz w:val="24"/>
        </w:rPr>
        <w:t>3.本项目特定的资格要求：</w:t>
      </w:r>
    </w:p>
    <w:p>
      <w:pPr>
        <w:ind w:firstLine="480"/>
      </w:pPr>
    </w:p>
    <w:p/>
    <w:p>
      <w:r>
        <w:rPr/>
        <w:t>采购包1（广东省市场监督管理局商品数字化与物联网编码应用科普基地自动化静物产品拍摄系统）：</w:t>
      </w:r>
    </w:p>
    <w:p/>
    <w:p>
      <w:r>
        <w:rPr/>
        <w:t>1)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采购代理机构网站（www.fssxyzx.com）</w:t>
      </w:r>
    </w:p>
    <w:p>
      <w:r>
        <w:rPr>
          <w:b/>
          <w:sz w:val="28"/>
        </w:rPr>
        <w:t>六.本项目联系方式：</w:t>
      </w:r>
    </w:p>
    <w:p>
      <w:r>
        <w:rPr>
          <w:b/>
          <w:sz w:val="24"/>
        </w:rPr>
        <w:t>1.采购人信息</w:t>
      </w:r>
    </w:p>
    <w:p>
      <w:pPr>
        <w:ind w:firstLine="480"/>
      </w:pPr>
      <w:r>
        <w:rPr/>
        <w:t>名称：</w:t>
      </w:r>
      <w:r>
        <w:rPr/>
        <w:t>广东省佛山市质量技术监督标准与编码所</w:t>
      </w:r>
    </w:p>
    <w:p>
      <w:pPr>
        <w:ind w:firstLine="480"/>
      </w:pPr>
      <w:r>
        <w:rPr/>
        <w:t>地址：</w:t>
      </w:r>
      <w:r>
        <w:rPr/>
        <w:t>佛山市人民路76号</w:t>
      </w:r>
    </w:p>
    <w:p>
      <w:pPr>
        <w:ind w:firstLine="480"/>
      </w:pPr>
      <w:r>
        <w:rPr/>
        <w:t>联系方式：</w:t>
      </w:r>
      <w:r>
        <w:rPr/>
        <w:t>0757-82281916</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0757-83279081</w:t>
      </w:r>
    </w:p>
    <w:p>
      <w:r>
        <w:rPr>
          <w:b/>
          <w:sz w:val="24"/>
        </w:rPr>
        <w:t>3.项目联系方式</w:t>
      </w:r>
    </w:p>
    <w:p>
      <w:pPr>
        <w:ind w:firstLine="480"/>
      </w:pPr>
      <w:r>
        <w:rPr/>
        <w:t>项目联系人：</w:t>
      </w:r>
      <w:r>
        <w:rPr/>
        <w:t>黄先生</w:t>
      </w:r>
    </w:p>
    <w:p>
      <w:pPr>
        <w:ind w:firstLine="480"/>
      </w:pPr>
      <w:r>
        <w:rPr/>
        <w:t>电话：</w:t>
      </w:r>
      <w:r>
        <w:rPr/>
        <w:t>0757-83279081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color w:val="000000"/>
          <w:sz w:val="21"/>
        </w:rPr>
        <w:t>为推动地方经济高质量发展，促进企业数字化转型，广东省佛山市质量技术监督标准与编码所（中国物品编码中心广东分中心佛山办事处）利用现设立的条码检测实验室和中国物品编码中心广东分中心源数据服务工作室（佛山）的优势，扩建成立</w:t>
      </w:r>
      <w:r>
        <w:rPr>
          <w:color w:val="000000"/>
          <w:sz w:val="21"/>
        </w:rPr>
        <w:t>“广东省市场监督管理局商品数字化与物联网编码应用科普基地”，向社会公众科普当今物联网时代商品数字化与物联网编码应用的现状、发展和意义，形象地展示由实物商品信息转化为标准化的数字化商品，让学员亲身体验商品数字化的便捷与魅力。</w:t>
      </w:r>
    </w:p>
    <w:p>
      <w:pPr>
        <w:ind w:firstLine="420"/>
        <w:jc w:val="both"/>
      </w:pPr>
      <w:r>
        <w:rPr>
          <w:color w:val="000000"/>
          <w:sz w:val="21"/>
        </w:rPr>
        <w:t>为完善配套原有的实验场所的设备设施，需对源数据采集工作室的图片采集系统进行更新购置，提升源数据采集工作的可靠性、准确性，并通过科普活动，让社会公众积极拥抱物联网时代的来临，提升社会公众的商品数字化能力和物联网编码应用能力，计划采购自动化静物产品拍摄系统一套。</w:t>
      </w:r>
    </w:p>
    <w:p>
      <w:pPr>
        <w:ind w:firstLine="420"/>
        <w:jc w:val="both"/>
      </w:pPr>
      <w:r>
        <w:rPr>
          <w:sz w:val="21"/>
        </w:rPr>
        <w:t>1.</w:t>
      </w:r>
      <w:r>
        <w:rPr>
          <w:sz w:val="21"/>
        </w:rPr>
        <w:t>★</w:t>
      </w:r>
      <w:r>
        <w:rPr>
          <w:sz w:val="21"/>
        </w:rPr>
        <w:t>说明</w:t>
      </w:r>
    </w:p>
    <w:p>
      <w:pPr>
        <w:jc w:val="both"/>
      </w:pPr>
      <w:r>
        <w:rPr>
          <w:sz w:val="21"/>
        </w:rPr>
        <w:t>1.1.</w:t>
      </w:r>
      <w:r>
        <w:rPr>
          <w:sz w:val="21"/>
        </w:rPr>
        <w:t>投标人投标时，应在《分项报价表》中清晰列明各采购标的的</w:t>
      </w:r>
      <w:r>
        <w:rPr>
          <w:sz w:val="21"/>
        </w:rPr>
        <w:t>“货物名称、品牌、规格型号、产地、制造商名称、单价、数量、总价”；其中，核心产品未列明“货物名称、品牌”的，视为无效投标。</w:t>
      </w:r>
      <w:r>
        <w:rPr>
          <w:sz w:val="21"/>
        </w:rPr>
        <w:t>核心产品品牌相同，且通过资格性审查、符合性审查的不同投标人参加同一采购包投标的，按一家供应商计算。</w:t>
      </w:r>
    </w:p>
    <w:p>
      <w:pPr>
        <w:jc w:val="both"/>
      </w:pPr>
      <w:r>
        <w:rPr>
          <w:sz w:val="21"/>
        </w:rPr>
        <w:t>1.2.</w:t>
      </w:r>
      <w:r>
        <w:rPr>
          <w:sz w:val="21"/>
        </w:rPr>
        <w:t>投标人</w:t>
      </w:r>
      <w:r>
        <w:rPr>
          <w:sz w:val="21"/>
        </w:rPr>
        <w:t>须对本项目以采购包为单位的采购标的进行整体投标，任何只对以采购包为单位的采购标的其中一部分内容、数量进行的投标都被视为无效投标。</w:t>
      </w:r>
    </w:p>
    <w:p>
      <w:pPr>
        <w:jc w:val="both"/>
      </w:pPr>
      <w:r>
        <w:rPr>
          <w:sz w:val="21"/>
        </w:rPr>
        <w:t>1.3.</w:t>
      </w:r>
      <w:r>
        <w:rPr>
          <w:sz w:val="21"/>
        </w:rPr>
        <w:t>本项目严格落实《关于环境标志产品政府采购实施的意见》（财库</w:t>
      </w:r>
      <w:r>
        <w:rPr>
          <w:sz w:val="21"/>
        </w:rPr>
        <w:t>[2006]90号）、《节能产品政府采购实施意见》（财库［2004］185号）、《财政部 发展改革委 生态环境部 市场监管总局关于调整优化节能产品、环境标志产品政府采购执行机制的通知》（财库〔2019〕9号）、《关于印发〈商品包装政府采购需求标准（试行）〉、〈快递包装政府采购需求标准（试行）〉的通知》等要求。</w:t>
      </w:r>
    </w:p>
    <w:p>
      <w:pPr>
        <w:jc w:val="both"/>
      </w:pPr>
      <w:r>
        <w:rPr>
          <w:sz w:val="21"/>
        </w:rPr>
        <w:t>1.4.</w:t>
      </w:r>
      <w:r>
        <w:rPr>
          <w:sz w:val="21"/>
        </w:rPr>
        <w:t>如所投产品被列为国家强制采购的节能产品，投标人必须附上该产品由国家确定的认证机构出具的、处于有效期之内节能产品认证证书扫描件，否则视为无效投标。</w:t>
      </w:r>
    </w:p>
    <w:p>
      <w:pPr>
        <w:jc w:val="both"/>
      </w:pPr>
      <w:r>
        <w:rPr>
          <w:sz w:val="21"/>
        </w:rPr>
        <w:t>1.5.</w:t>
      </w:r>
      <w:r>
        <w:rPr>
          <w:sz w:val="21"/>
        </w:rPr>
        <w:t>招标文件内所有涉及的规定、规范、标准，如有最新，以最新为准。</w:t>
      </w:r>
    </w:p>
    <w:p>
      <w:pPr>
        <w:jc w:val="both"/>
      </w:pPr>
      <w:r>
        <w:rPr>
          <w:sz w:val="21"/>
        </w:rPr>
        <w:t>1.6.</w:t>
      </w:r>
      <w:r>
        <w:rPr>
          <w:sz w:val="21"/>
        </w:rPr>
        <w:t>货物所有功能</w:t>
      </w:r>
      <w:r>
        <w:rPr>
          <w:sz w:val="21"/>
        </w:rPr>
        <w:t>必须能在同一时间下满足。</w:t>
      </w:r>
    </w:p>
    <w:p>
      <w:pPr>
        <w:jc w:val="both"/>
      </w:pPr>
      <w:r>
        <w:rPr>
          <w:sz w:val="21"/>
        </w:rPr>
        <w:t>1.7.</w:t>
      </w:r>
      <w:r>
        <w:rPr>
          <w:sz w:val="21"/>
        </w:rPr>
        <w:t>本项目不允许分包。</w:t>
      </w:r>
    </w:p>
    <w:p/>
    <w:p>
      <w:pPr>
        <w:ind w:firstLine="480"/>
      </w:pPr>
    </w:p>
    <w:p/>
    <w:p>
      <w:r>
        <w:rPr/>
        <w:t>采购包1（广东省市场监督管理局商品数字化与物联网编码应用科普基地自动化静物产品拍摄系统）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2023年10月15日前完成安装调试并具备验收条件，如因进口产品过关入境手续造成延误，在采购人许可情况下可作相应调整。</w:t>
            </w:r>
          </w:p>
        </w:tc>
      </w:tr>
      <w:tr>
        <w:tc>
          <w:tcPr>
            <w:tcW w:type="dxa" w:w="4153"/>
          </w:tcPr>
          <w:p>
            <w:r>
              <w:rPr/>
              <w:t>标的提供的地点</w:t>
            </w:r>
          </w:p>
        </w:tc>
        <w:tc>
          <w:tcPr>
            <w:tcW w:type="dxa" w:w="4153"/>
          </w:tcPr>
          <w:p/>
          <w:p>
            <w:r>
              <w:rPr/>
              <w:t>广东省佛山市禅城区人民路76号</w:t>
            </w:r>
          </w:p>
        </w:tc>
      </w:tr>
      <w:tr>
        <w:tc>
          <w:tcPr>
            <w:tcW w:type="dxa" w:w="4153"/>
          </w:tcPr>
          <w:p>
            <w:r>
              <w:rPr/>
              <w:t>付款方式</w:t>
            </w:r>
          </w:p>
        </w:tc>
        <w:tc>
          <w:tcPr>
            <w:tcW w:type="dxa" w:w="4153"/>
          </w:tcPr>
          <w:p/>
          <w:p/>
          <w:p>
            <w:r>
              <w:rPr/>
              <w:t>1期：支付比例50%,由采购人按下列程序付款：1.预付款：签订合同后5个工作日内，采购人向中标人支付合同总价的50%。</w:t>
            </w:r>
          </w:p>
          <w:p/>
          <w:p>
            <w:r>
              <w:rPr/>
              <w:t>2期：支付比例50%,2.所有设备安装调试完毕并由采购人总体验收合格之日起15日内，采购人向中标人支付合同总价的50%。 3.每期付款由中标人提出申请，向采购人提供以下资料，否则采购人有权顺延付款，中标人不得以此为由暂停实施本项目或要求顺延货物交付时间： (1)发票，收款方、出具发票方、合同乙方均必须与中标人名称一致。 (2)验收报告（加盖采购人公章，最后一期款项支付时提供）。 (3)中标通知书。</w:t>
            </w:r>
          </w:p>
        </w:tc>
      </w:tr>
      <w:tr>
        <w:tc>
          <w:tcPr>
            <w:tcW w:type="dxa" w:w="4153"/>
          </w:tcPr>
          <w:p>
            <w:r>
              <w:rPr/>
              <w:t>验收要求</w:t>
            </w:r>
          </w:p>
        </w:tc>
        <w:tc>
          <w:tcPr>
            <w:tcW w:type="dxa" w:w="4153"/>
          </w:tcPr>
          <w:p/>
          <w:p/>
          <w:p/>
          <w:p>
            <w:r>
              <w:rPr/>
              <w:t>1期：采购人于收到供应商验收申请后7日内组织履约验收，验收要求如下： （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二）依次序对照适用标准为：①符合中华人民共和国国家安全质量标准、环保标准或行业标准；②符合采购文件和响应承诺中采购人认可的合理最佳配置、参数及各项要求；③货物来源国官方标准。上述标准必须是有关官方机构发布的最新版本的标准。（三）安装调试：1.中标人负责到采购人指定的安装地点进行安装调试。2.中标人必须提供设备安装、集成及调测服务，并确保调试完成后，设备能够正常运行，达到采购人可正常使用状态。3.安装所需工具设施物料由中标人自备、自费运到现场，完工后自费搬走。4.设备、材料的拆箱、安装、通电、调试等工作由中标人负责，但若采购人有特定要求需要参与的，则须在采购人指定人员的参与下进行。5.调试：按国家相关验收规范进行。调试的原始记录须经双方签字后作为验收的文件之一。6.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四）验收由中标人、采购人依国家有关标准、计量校准、合同及有关附件要求进行。中标人须为验收提供必需的相关条件及一切费用。（五)技术资料：验收后，中标人应向采购人提供验收报告。验收完毕由采购人及中标人在验收报告上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软件系统、运输费、装卸费、保险费、安装费、调试费、材料费、技术服务费（含联络费、培训费、保修费、计量校准费用）、各项税费（如涉及进口产品的含各进口产品环节税费及到采购人指定目的地费用）及合同实施过程中应预见和不可预见费等完成本采购内容所需的一切费用。  （三）中标人在项目的实施过程中，采购人除了支付合同规定的款项外，一切合同规定外的费用将拒绝支付。</w:t>
            </w:r>
          </w:p>
        </w:tc>
      </w:tr>
      <w:tr>
        <w:tc>
          <w:tcPr>
            <w:tcW w:type="dxa" w:w="2076"/>
          </w:tcPr>
          <w:p>
            <w:pPr>
              <w:jc w:val="center"/>
            </w:pPr>
            <w:r>
              <w:rPr/>
              <w:t>★</w:t>
            </w:r>
          </w:p>
        </w:tc>
        <w:tc>
          <w:tcPr>
            <w:tcW w:type="dxa" w:w="2076"/>
          </w:tcPr>
          <w:p>
            <w:pPr>
              <w:jc w:val="center"/>
            </w:pPr>
            <w:r>
              <w:rPr/>
              <w:t>2</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r>
              <w:rPr/>
              <w:t>★</w:t>
            </w:r>
          </w:p>
        </w:tc>
        <w:tc>
          <w:tcPr>
            <w:tcW w:type="dxa" w:w="2076"/>
          </w:tcPr>
          <w:p>
            <w:pPr>
              <w:jc w:val="center"/>
            </w:pPr>
            <w:r>
              <w:rPr/>
              <w:t>3</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（五）货物在系统安装调试验收合格前的保险由中标人负责，中标人负责其派出的现场服务人员人身意外责任，并应为服务人员购买相关保险。  （六）设备至采购人指定的使用现场的包装、保险及发运等环节和费用均由中标人负责。</w:t>
            </w:r>
          </w:p>
        </w:tc>
      </w:tr>
      <w:tr>
        <w:tc>
          <w:tcPr>
            <w:tcW w:type="dxa" w:w="2076"/>
          </w:tcPr>
          <w:p>
            <w:pPr>
              <w:jc w:val="center"/>
            </w:pPr>
          </w:p>
        </w:tc>
        <w:tc>
          <w:tcPr>
            <w:tcW w:type="dxa" w:w="2076"/>
          </w:tcPr>
          <w:p>
            <w:pPr>
              <w:jc w:val="center"/>
            </w:pPr>
            <w:r>
              <w:rPr/>
              <w:t>4</w:t>
            </w:r>
          </w:p>
        </w:tc>
        <w:tc>
          <w:tcPr>
            <w:tcW w:type="dxa" w:w="2076"/>
          </w:tcPr>
          <w:p>
            <w:pPr>
              <w:jc w:val="left"/>
            </w:pPr>
            <w:r>
              <w:rPr/>
              <w:t>备品备件要求</w:t>
            </w:r>
          </w:p>
        </w:tc>
        <w:tc>
          <w:tcPr>
            <w:tcW w:type="dxa" w:w="2076"/>
          </w:tcPr>
          <w:p>
            <w:pPr>
              <w:jc w:val="left"/>
            </w:pPr>
            <w:r>
              <w:rPr/>
              <w:t>中标人应对本项目的备品备件做好充足准备，并保证以成本价提供备品备件和维修服务。当发生故障时，中标人应按质量保证期内同样的要求进行维修处理。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禅城区人民路76号）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（三）所有的培训费用包括但不限于差旅、食宿、教材、资料等由中标人负责，均包含在合同金额中。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质保期及售后服务要求</w:t>
            </w:r>
          </w:p>
        </w:tc>
        <w:tc>
          <w:tcPr>
            <w:tcW w:type="dxa" w:w="2076"/>
          </w:tcPr>
          <w:p>
            <w:pPr>
              <w:jc w:val="left"/>
            </w:pPr>
            <w:r>
              <w:rPr/>
              <w:t>（一）质量保证期（简称“质保期”）以所有设备自交付验收合格之日起计，质保期1年，质保期内中标人对所供货物实行包修、包换、包退、包维护保养，期满后可同时提供终身维修保养服务。  （二）质保期内发生的质量问题，由中标人负责免费解决（因采购人使用不当或其他人为因素造成的故障除外）。如货物因自身故障致停用时间累计超过20天时，则质保期在状态恢复正常时重新计算或对故障设备予以重新更换。  （三）任何时候，中标人均不能免除因货物本身的缺陷所应负的责任。  （四）质保期内中标人提供上门免费服务，在质保期内设置每周7天×24小时服务专线和长期的免费技术支持，对采购人的服务通知，中标人必须在接报后1小时内响应，72小时内到达现场，6天内处理完毕。若故障规定时间内未能处理完毕的，中标人必须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其他照相机及器材</w:t>
            </w:r>
          </w:p>
        </w:tc>
        <w:tc>
          <w:tcPr>
            <w:tcW w:type="dxa" w:w="831"/>
          </w:tcPr>
          <w:p>
            <w:pPr>
              <w:jc w:val="left"/>
            </w:pPr>
            <w:r>
              <w:rPr/>
              <w:t>广东省市场监督管理局商品数字化与物联网编码应用科普基地自动化静物产品拍摄系统</w:t>
            </w:r>
          </w:p>
        </w:tc>
        <w:tc>
          <w:tcPr>
            <w:tcW w:type="dxa" w:w="831"/>
          </w:tcPr>
          <w:p>
            <w:pPr>
              <w:jc w:val="left"/>
            </w:pPr>
            <w:r>
              <w:rPr/>
              <w:t>套</w:t>
            </w:r>
          </w:p>
        </w:tc>
        <w:tc>
          <w:tcPr>
            <w:tcW w:type="dxa" w:w="831"/>
          </w:tcPr>
          <w:p>
            <w:pPr>
              <w:jc w:val="right"/>
            </w:pPr>
            <w:r>
              <w:rPr/>
              <w:t>1.00</w:t>
            </w:r>
          </w:p>
        </w:tc>
        <w:tc>
          <w:tcPr>
            <w:tcW w:type="dxa" w:w="831"/>
          </w:tcPr>
          <w:p>
            <w:pPr>
              <w:jc w:val="right"/>
            </w:pPr>
            <w:r>
              <w:rPr/>
              <w:t>250,000.00</w:t>
            </w:r>
          </w:p>
        </w:tc>
        <w:tc>
          <w:tcPr>
            <w:tcW w:type="dxa" w:w="831"/>
          </w:tcPr>
          <w:p>
            <w:pPr>
              <w:jc w:val="right"/>
            </w:pPr>
            <w:r>
              <w:rPr/>
              <w:t>250,000.00</w:t>
            </w:r>
          </w:p>
        </w:tc>
        <w:tc>
          <w:tcPr>
            <w:tcW w:type="dxa" w:w="831"/>
          </w:tcPr>
          <w:p>
            <w:r>
              <w:rPr/>
              <w:t>工业</w:t>
            </w:r>
          </w:p>
        </w:tc>
        <w:tc>
          <w:tcPr>
            <w:tcW w:type="dxa" w:w="831"/>
          </w:tcPr>
          <w:p>
            <w:r>
              <w:rPr/>
              <w:t>详见附表一</w:t>
            </w:r>
          </w:p>
        </w:tc>
      </w:tr>
    </w:tbl>
    <w:p/>
    <w:p>
      <w:r>
        <w:rPr>
          <w:b/>
        </w:rPr>
        <w:t>附表</w:t>
      </w:r>
      <w:r>
        <w:rPr>
          <w:b/>
        </w:rPr>
        <w:t>一</w:t>
      </w:r>
      <w:r>
        <w:rPr>
          <w:b/>
        </w:rPr>
        <w:t>：</w:t>
      </w:r>
      <w:r>
        <w:rPr>
          <w:b/>
        </w:rPr>
        <w:t>广东省市场监督管理局商品数字化与物联网编码应用科普基地自动化静物产品拍摄系统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sz w:val="21"/>
              </w:rPr>
              <w:t>设备硬件要求</w:t>
            </w:r>
          </w:p>
          <w:p>
            <w:r>
              <w:rPr>
                <w:sz w:val="21"/>
              </w:rPr>
              <w:t>（</w:t>
            </w:r>
            <w:r>
              <w:rPr>
                <w:sz w:val="21"/>
              </w:rPr>
              <w:t>1）</w:t>
            </w:r>
            <w:r>
              <w:rPr>
                <w:sz w:val="21"/>
              </w:rPr>
              <w:t>一个光箱</w:t>
            </w:r>
            <w:r>
              <w:rPr>
                <w:sz w:val="21"/>
              </w:rPr>
              <w:t>。</w:t>
            </w:r>
          </w:p>
          <w:p>
            <w:r>
              <w:rPr>
                <w:sz w:val="21"/>
              </w:rPr>
              <w:t>（</w:t>
            </w:r>
            <w:r>
              <w:rPr>
                <w:sz w:val="21"/>
              </w:rPr>
              <w:t>2）与光箱</w:t>
            </w:r>
            <w:r>
              <w:rPr>
                <w:sz w:val="21"/>
              </w:rPr>
              <w:t>配套的</w:t>
            </w:r>
            <w:r>
              <w:rPr>
                <w:sz w:val="21"/>
              </w:rPr>
              <w:t>LED灯光系统</w:t>
            </w:r>
            <w:r>
              <w:rPr>
                <w:sz w:val="21"/>
              </w:rPr>
              <w:t>硬件一套</w:t>
            </w:r>
            <w:r>
              <w:rPr>
                <w:sz w:val="21"/>
              </w:rPr>
              <w:t>。</w:t>
            </w:r>
          </w:p>
          <w:p>
            <w:r>
              <w:rPr>
                <w:sz w:val="21"/>
              </w:rPr>
              <w:t>（</w:t>
            </w:r>
            <w:r>
              <w:rPr>
                <w:sz w:val="21"/>
              </w:rPr>
              <w:t>3）一套控制动化静物产品拍摄的配套软件系统</w:t>
            </w:r>
            <w:r>
              <w:rPr>
                <w:sz w:val="21"/>
              </w:rPr>
              <w:t>。</w:t>
            </w:r>
          </w:p>
          <w:p>
            <w:r>
              <w:rPr>
                <w:sz w:val="21"/>
              </w:rPr>
              <w:t>（</w:t>
            </w:r>
            <w:r>
              <w:rPr>
                <w:sz w:val="21"/>
              </w:rPr>
              <w:t>4）与上述设备相匹配的1台数码单反相机和一台系统控制设备。</w:t>
            </w:r>
          </w:p>
          <w:p>
            <w:r>
              <w:rPr>
                <w:sz w:val="21"/>
              </w:rPr>
              <w:t>（</w:t>
            </w:r>
            <w:r>
              <w:rPr>
                <w:sz w:val="21"/>
              </w:rPr>
              <w:t>5）与数码单反相机配套的UV保护镜。</w:t>
            </w:r>
          </w:p>
          <w:p>
            <w:r>
              <w:rPr>
                <w:sz w:val="21"/>
              </w:rPr>
              <w:t>（</w:t>
            </w:r>
            <w:r>
              <w:rPr>
                <w:sz w:val="21"/>
              </w:rPr>
              <w:t>6）与数码单反相机配套的相机存储卡。</w:t>
            </w:r>
          </w:p>
          <w:p>
            <w:r>
              <w:rPr>
                <w:sz w:val="21"/>
              </w:rPr>
              <w:t>（</w:t>
            </w:r>
            <w:r>
              <w:rPr>
                <w:sz w:val="21"/>
              </w:rPr>
              <w:t>7）与数</w:t>
            </w:r>
            <w:r>
              <w:rPr>
                <w:sz w:val="21"/>
              </w:rPr>
              <w:t>码单反相机配套的相机外接电源。</w:t>
            </w:r>
          </w:p>
        </w:tc>
      </w:tr>
      <w:tr>
        <w:tc>
          <w:tcPr>
            <w:tcW w:type="dxa" w:w="2076"/>
          </w:tcPr>
          <w:p>
            <w:r>
              <w:rPr/>
              <w:t>★</w:t>
            </w:r>
          </w:p>
        </w:tc>
        <w:tc>
          <w:tcPr>
            <w:tcW w:type="dxa" w:w="415"/>
          </w:tcPr>
          <w:p>
            <w:r>
              <w:rPr/>
              <w:t>2</w:t>
            </w:r>
          </w:p>
        </w:tc>
        <w:tc>
          <w:tcPr>
            <w:tcW w:type="dxa" w:w="5814"/>
          </w:tcPr>
          <w:p>
            <w:r>
              <w:rPr>
                <w:sz w:val="21"/>
              </w:rPr>
              <w:t>设备</w:t>
            </w:r>
            <w:r>
              <w:rPr>
                <w:sz w:val="21"/>
              </w:rPr>
              <w:t>参数</w:t>
            </w:r>
          </w:p>
          <w:p>
            <w:r>
              <w:rPr>
                <w:sz w:val="21"/>
              </w:rPr>
              <w:t>（</w:t>
            </w:r>
            <w:r>
              <w:rPr>
                <w:sz w:val="21"/>
              </w:rPr>
              <w:t>1）</w:t>
            </w:r>
            <w:r>
              <w:rPr>
                <w:sz w:val="21"/>
              </w:rPr>
              <w:t>工作电压：支持</w:t>
            </w:r>
            <w:r>
              <w:rPr>
                <w:sz w:val="21"/>
              </w:rPr>
              <w:t>220V；</w:t>
            </w:r>
            <w:r>
              <w:rPr>
                <w:sz w:val="21"/>
              </w:rPr>
              <w:t>功耗：不大于</w:t>
            </w:r>
            <w:r>
              <w:rPr>
                <w:sz w:val="21"/>
              </w:rPr>
              <w:t>800W。</w:t>
            </w:r>
          </w:p>
          <w:p>
            <w:r>
              <w:rPr>
                <w:sz w:val="21"/>
              </w:rPr>
              <w:t>（</w:t>
            </w:r>
            <w:r>
              <w:rPr>
                <w:sz w:val="21"/>
              </w:rPr>
              <w:t>2）拍摄尺寸支持50cm</w:t>
            </w:r>
            <w:r>
              <w:rPr>
                <w:sz w:val="21"/>
              </w:rPr>
              <w:t>×</w:t>
            </w:r>
            <w:r>
              <w:rPr>
                <w:sz w:val="21"/>
              </w:rPr>
              <w:t>30cm</w:t>
            </w:r>
            <w:r>
              <w:rPr>
                <w:sz w:val="21"/>
              </w:rPr>
              <w:t>×</w:t>
            </w:r>
            <w:r>
              <w:rPr>
                <w:sz w:val="21"/>
              </w:rPr>
              <w:t>70cm。</w:t>
            </w:r>
          </w:p>
          <w:p>
            <w:r>
              <w:rPr>
                <w:sz w:val="21"/>
              </w:rPr>
              <w:t>（</w:t>
            </w:r>
            <w:r>
              <w:rPr>
                <w:sz w:val="21"/>
              </w:rPr>
              <w:t>3）图像像素达到2400</w:t>
            </w:r>
            <w:r>
              <w:rPr>
                <w:sz w:val="21"/>
              </w:rPr>
              <w:t>×</w:t>
            </w:r>
            <w:r>
              <w:rPr>
                <w:sz w:val="21"/>
              </w:rPr>
              <w:t>2400像素，支持JPG、PNG和ITF格式。</w:t>
            </w:r>
          </w:p>
        </w:tc>
      </w:tr>
      <w:tr>
        <w:tc>
          <w:tcPr>
            <w:tcW w:type="dxa" w:w="2076"/>
          </w:tcPr>
          <w:p/>
        </w:tc>
        <w:tc>
          <w:tcPr>
            <w:tcW w:type="dxa" w:w="415"/>
          </w:tcPr>
          <w:p>
            <w:r>
              <w:rPr/>
              <w:t>3</w:t>
            </w:r>
          </w:p>
        </w:tc>
        <w:tc>
          <w:tcPr>
            <w:tcW w:type="dxa" w:w="5814"/>
          </w:tcPr>
          <w:p>
            <w:r>
              <w:rPr>
                <w:sz w:val="21"/>
              </w:rPr>
              <w:t>（</w:t>
            </w:r>
            <w:r>
              <w:rPr>
                <w:sz w:val="21"/>
              </w:rPr>
              <w:t>4）相机具备自动调焦功能。</w:t>
            </w:r>
          </w:p>
        </w:tc>
      </w:tr>
      <w:tr>
        <w:tc>
          <w:tcPr>
            <w:tcW w:type="dxa" w:w="2076"/>
          </w:tcPr>
          <w:p/>
        </w:tc>
        <w:tc>
          <w:tcPr>
            <w:tcW w:type="dxa" w:w="415"/>
          </w:tcPr>
          <w:p>
            <w:r>
              <w:rPr/>
              <w:t>4</w:t>
            </w:r>
          </w:p>
        </w:tc>
        <w:tc>
          <w:tcPr>
            <w:tcW w:type="dxa" w:w="5814"/>
          </w:tcPr>
          <w:p>
            <w:r>
              <w:rPr>
                <w:sz w:val="21"/>
              </w:rPr>
              <w:t>（</w:t>
            </w:r>
            <w:r>
              <w:rPr>
                <w:sz w:val="21"/>
              </w:rPr>
              <w:t>5）支持实现整体灯光效果的调节。</w:t>
            </w:r>
          </w:p>
        </w:tc>
      </w:tr>
      <w:tr>
        <w:tc>
          <w:tcPr>
            <w:tcW w:type="dxa" w:w="2076"/>
          </w:tcPr>
          <w:p/>
        </w:tc>
        <w:tc>
          <w:tcPr>
            <w:tcW w:type="dxa" w:w="415"/>
          </w:tcPr>
          <w:p>
            <w:r>
              <w:rPr/>
              <w:t>5</w:t>
            </w:r>
          </w:p>
        </w:tc>
        <w:tc>
          <w:tcPr>
            <w:tcW w:type="dxa" w:w="5814"/>
          </w:tcPr>
          <w:p>
            <w:r>
              <w:rPr>
                <w:sz w:val="21"/>
              </w:rPr>
              <w:t>（</w:t>
            </w:r>
            <w:r>
              <w:rPr>
                <w:sz w:val="21"/>
              </w:rPr>
              <w:t>6）可完成360°全自动旋转拍摄。</w:t>
            </w:r>
          </w:p>
        </w:tc>
      </w:tr>
      <w:tr>
        <w:tc>
          <w:tcPr>
            <w:tcW w:type="dxa" w:w="2076"/>
          </w:tcPr>
          <w:p>
            <w:r>
              <w:rPr/>
              <w:t>▲</w:t>
            </w:r>
          </w:p>
        </w:tc>
        <w:tc>
          <w:tcPr>
            <w:tcW w:type="dxa" w:w="415"/>
          </w:tcPr>
          <w:p>
            <w:r>
              <w:rPr/>
              <w:t>6</w:t>
            </w:r>
          </w:p>
        </w:tc>
        <w:tc>
          <w:tcPr>
            <w:tcW w:type="dxa" w:w="5814"/>
          </w:tcPr>
          <w:p>
            <w:r>
              <w:rPr>
                <w:sz w:val="21"/>
              </w:rPr>
              <w:t>（</w:t>
            </w:r>
            <w:r>
              <w:rPr>
                <w:sz w:val="21"/>
              </w:rPr>
              <w:t>7）支持透明材质产品或复杂图片自动抠图功能。</w:t>
            </w:r>
          </w:p>
        </w:tc>
      </w:tr>
      <w:tr>
        <w:tc>
          <w:tcPr>
            <w:tcW w:type="dxa" w:w="2076"/>
          </w:tcPr>
          <w:p>
            <w:r>
              <w:rPr/>
              <w:t>▲</w:t>
            </w:r>
          </w:p>
        </w:tc>
        <w:tc>
          <w:tcPr>
            <w:tcW w:type="dxa" w:w="415"/>
          </w:tcPr>
          <w:p>
            <w:r>
              <w:rPr/>
              <w:t>7</w:t>
            </w:r>
          </w:p>
        </w:tc>
        <w:tc>
          <w:tcPr>
            <w:tcW w:type="dxa" w:w="5814"/>
          </w:tcPr>
          <w:p>
            <w:r>
              <w:rPr>
                <w:sz w:val="21"/>
              </w:rPr>
              <w:t>（</w:t>
            </w:r>
            <w:r>
              <w:rPr>
                <w:sz w:val="21"/>
              </w:rPr>
              <w:t>8）3秒内完成产品单张图片拍摄，并完成自动抠图。</w:t>
            </w:r>
          </w:p>
        </w:tc>
      </w:tr>
      <w:tr>
        <w:tc>
          <w:tcPr>
            <w:tcW w:type="dxa" w:w="2076"/>
          </w:tcPr>
          <w:p>
            <w:r>
              <w:rPr/>
              <w:t>▲</w:t>
            </w:r>
          </w:p>
        </w:tc>
        <w:tc>
          <w:tcPr>
            <w:tcW w:type="dxa" w:w="415"/>
          </w:tcPr>
          <w:p>
            <w:r>
              <w:rPr/>
              <w:t>8</w:t>
            </w:r>
          </w:p>
        </w:tc>
        <w:tc>
          <w:tcPr>
            <w:tcW w:type="dxa" w:w="5814"/>
          </w:tcPr>
          <w:p>
            <w:r>
              <w:rPr>
                <w:sz w:val="21"/>
              </w:rPr>
              <w:t>（</w:t>
            </w:r>
            <w:r>
              <w:rPr>
                <w:sz w:val="21"/>
              </w:rPr>
              <w:t>9</w:t>
            </w:r>
            <w:r>
              <w:rPr>
                <w:sz w:val="21"/>
              </w:rPr>
              <w:t>）可同时操控与本项目相同参数相机的数量：不少于</w:t>
            </w:r>
            <w:r>
              <w:rPr>
                <w:sz w:val="21"/>
              </w:rPr>
              <w:t>5</w:t>
            </w:r>
            <w:r>
              <w:rPr>
                <w:sz w:val="21"/>
              </w:rPr>
              <w:t>台</w:t>
            </w:r>
            <w:r>
              <w:rPr>
                <w:sz w:val="21"/>
              </w:rPr>
              <w:t>。</w:t>
            </w:r>
          </w:p>
        </w:tc>
      </w:tr>
      <w:tr>
        <w:tc>
          <w:tcPr>
            <w:tcW w:type="dxa" w:w="2076"/>
          </w:tcPr>
          <w:p>
            <w:r>
              <w:rPr/>
              <w:t>▲</w:t>
            </w:r>
          </w:p>
        </w:tc>
        <w:tc>
          <w:tcPr>
            <w:tcW w:type="dxa" w:w="415"/>
          </w:tcPr>
          <w:p>
            <w:r>
              <w:rPr/>
              <w:t>9</w:t>
            </w:r>
          </w:p>
        </w:tc>
        <w:tc>
          <w:tcPr>
            <w:tcW w:type="dxa" w:w="5814"/>
          </w:tcPr>
          <w:p>
            <w:r>
              <w:rPr>
                <w:sz w:val="21"/>
              </w:rPr>
              <w:t>（10）LED</w:t>
            </w:r>
            <w:r>
              <w:rPr>
                <w:sz w:val="21"/>
              </w:rPr>
              <w:t>灯光系统能力：显色指数不低于</w:t>
            </w:r>
            <w:r>
              <w:rPr>
                <w:sz w:val="21"/>
              </w:rPr>
              <w:t>95</w:t>
            </w:r>
            <w:r>
              <w:rPr>
                <w:sz w:val="21"/>
              </w:rPr>
              <w:t>。</w:t>
            </w:r>
          </w:p>
        </w:tc>
      </w:tr>
      <w:tr>
        <w:tc>
          <w:tcPr>
            <w:tcW w:type="dxa" w:w="2076"/>
          </w:tcPr>
          <w:p>
            <w:r>
              <w:rPr/>
              <w:t>▲</w:t>
            </w:r>
          </w:p>
        </w:tc>
        <w:tc>
          <w:tcPr>
            <w:tcW w:type="dxa" w:w="415"/>
          </w:tcPr>
          <w:p>
            <w:r>
              <w:rPr/>
              <w:t>10</w:t>
            </w:r>
          </w:p>
        </w:tc>
        <w:tc>
          <w:tcPr>
            <w:tcW w:type="dxa" w:w="5814"/>
          </w:tcPr>
          <w:p>
            <w:r>
              <w:rPr>
                <w:sz w:val="21"/>
              </w:rPr>
              <w:t>（11）载重：不小于</w:t>
            </w:r>
            <w:r>
              <w:rPr>
                <w:sz w:val="21"/>
              </w:rPr>
              <w:t>25kg。</w:t>
            </w:r>
          </w:p>
        </w:tc>
      </w:tr>
      <w:tr>
        <w:tc>
          <w:tcPr>
            <w:tcW w:type="dxa" w:w="2076"/>
          </w:tcPr>
          <w:p>
            <w:r>
              <w:rPr/>
              <w:t>★</w:t>
            </w:r>
          </w:p>
        </w:tc>
        <w:tc>
          <w:tcPr>
            <w:tcW w:type="dxa" w:w="415"/>
          </w:tcPr>
          <w:p>
            <w:r>
              <w:rPr/>
              <w:t>11</w:t>
            </w:r>
          </w:p>
        </w:tc>
        <w:tc>
          <w:tcPr>
            <w:tcW w:type="dxa" w:w="5814"/>
          </w:tcPr>
          <w:p>
            <w:r>
              <w:rPr>
                <w:sz w:val="21"/>
              </w:rPr>
              <w:t>配套设备</w:t>
            </w:r>
            <w:r>
              <w:rPr>
                <w:sz w:val="21"/>
              </w:rPr>
              <w:t>参数</w:t>
            </w:r>
          </w:p>
          <w:p>
            <w:r>
              <w:rPr>
                <w:sz w:val="21"/>
              </w:rPr>
              <w:t>（</w:t>
            </w:r>
            <w:r>
              <w:rPr>
                <w:sz w:val="21"/>
              </w:rPr>
              <w:t>1）</w:t>
            </w:r>
            <w:r>
              <w:rPr>
                <w:sz w:val="21"/>
              </w:rPr>
              <w:t>系统控制设备</w:t>
            </w:r>
            <w:r>
              <w:rPr>
                <w:sz w:val="21"/>
              </w:rPr>
              <w:t>：</w:t>
            </w:r>
          </w:p>
          <w:p>
            <w:r>
              <w:rPr>
                <w:sz w:val="21"/>
              </w:rPr>
              <w:t>①　</w:t>
            </w:r>
            <w:r>
              <w:rPr>
                <w:sz w:val="21"/>
              </w:rPr>
              <w:t>尺寸为</w:t>
            </w:r>
            <w:r>
              <w:rPr>
                <w:sz w:val="21"/>
              </w:rPr>
              <w:t>14</w:t>
            </w:r>
            <w:r>
              <w:rPr>
                <w:sz w:val="21"/>
              </w:rPr>
              <w:t>寸；</w:t>
            </w:r>
          </w:p>
          <w:p>
            <w:r>
              <w:rPr>
                <w:sz w:val="21"/>
              </w:rPr>
              <w:t>②　</w:t>
            </w:r>
            <w:r>
              <w:rPr>
                <w:sz w:val="21"/>
              </w:rPr>
              <w:t>处理器主频不低于</w:t>
            </w:r>
            <w:r>
              <w:rPr>
                <w:sz w:val="21"/>
              </w:rPr>
              <w:t>3.3GHz</w:t>
            </w:r>
            <w:r>
              <w:rPr>
                <w:sz w:val="21"/>
              </w:rPr>
              <w:t>；</w:t>
            </w:r>
          </w:p>
          <w:p>
            <w:r>
              <w:rPr>
                <w:sz w:val="21"/>
              </w:rPr>
              <w:t>③　</w:t>
            </w:r>
            <w:r>
              <w:rPr>
                <w:sz w:val="21"/>
              </w:rPr>
              <w:t>运行内存不低于</w:t>
            </w:r>
            <w:r>
              <w:rPr>
                <w:sz w:val="21"/>
              </w:rPr>
              <w:t>16GB</w:t>
            </w:r>
            <w:r>
              <w:rPr>
                <w:sz w:val="21"/>
              </w:rPr>
              <w:t>；</w:t>
            </w:r>
          </w:p>
          <w:p>
            <w:r>
              <w:rPr>
                <w:sz w:val="21"/>
              </w:rPr>
              <w:t>④　</w:t>
            </w:r>
            <w:r>
              <w:rPr>
                <w:sz w:val="21"/>
              </w:rPr>
              <w:t>硬盘容量不低于</w:t>
            </w:r>
            <w:r>
              <w:rPr>
                <w:sz w:val="21"/>
              </w:rPr>
              <w:t>512GB</w:t>
            </w:r>
            <w:r>
              <w:rPr>
                <w:sz w:val="21"/>
              </w:rPr>
              <w:t>。</w:t>
            </w:r>
          </w:p>
          <w:p>
            <w:r>
              <w:rPr>
                <w:sz w:val="21"/>
              </w:rPr>
              <w:t>（</w:t>
            </w:r>
            <w:r>
              <w:rPr>
                <w:sz w:val="21"/>
              </w:rPr>
              <w:t>2）数码单反相机：</w:t>
            </w:r>
          </w:p>
          <w:p>
            <w:r>
              <w:rPr>
                <w:sz w:val="21"/>
              </w:rPr>
              <w:t>①　</w:t>
            </w:r>
            <w:r>
              <w:rPr>
                <w:sz w:val="21"/>
              </w:rPr>
              <w:t>有效像素：不低于</w:t>
            </w:r>
            <w:r>
              <w:rPr>
                <w:sz w:val="21"/>
              </w:rPr>
              <w:t>3250</w:t>
            </w:r>
            <w:r>
              <w:rPr>
                <w:sz w:val="21"/>
              </w:rPr>
              <w:t>万；</w:t>
            </w:r>
          </w:p>
          <w:p>
            <w:r>
              <w:rPr>
                <w:sz w:val="21"/>
              </w:rPr>
              <w:t>②　</w:t>
            </w:r>
            <w:r>
              <w:rPr>
                <w:sz w:val="21"/>
              </w:rPr>
              <w:t>最高分辨率：不低于</w:t>
            </w:r>
            <w:r>
              <w:rPr>
                <w:sz w:val="21"/>
              </w:rPr>
              <w:t>6960</w:t>
            </w:r>
            <w:r>
              <w:rPr>
                <w:sz w:val="21"/>
              </w:rPr>
              <w:t>×</w:t>
            </w:r>
            <w:r>
              <w:rPr>
                <w:sz w:val="21"/>
              </w:rPr>
              <w:t>4640</w:t>
            </w:r>
            <w:r>
              <w:rPr>
                <w:sz w:val="21"/>
              </w:rPr>
              <w:t>；</w:t>
            </w:r>
          </w:p>
          <w:p>
            <w:r>
              <w:rPr>
                <w:sz w:val="21"/>
              </w:rPr>
              <w:t>③　</w:t>
            </w:r>
            <w:r>
              <w:rPr>
                <w:sz w:val="21"/>
              </w:rPr>
              <w:t>显示屏尺寸：</w:t>
            </w:r>
            <w:r>
              <w:rPr>
                <w:sz w:val="21"/>
              </w:rPr>
              <w:t>3</w:t>
            </w:r>
            <w:r>
              <w:rPr>
                <w:sz w:val="21"/>
              </w:rPr>
              <w:t>英寸；</w:t>
            </w:r>
          </w:p>
          <w:p>
            <w:r>
              <w:rPr>
                <w:sz w:val="21"/>
              </w:rPr>
              <w:t>④　</w:t>
            </w:r>
            <w:r>
              <w:rPr>
                <w:sz w:val="21"/>
              </w:rPr>
              <w:t>显示屏像素：不低于</w:t>
            </w:r>
            <w:r>
              <w:rPr>
                <w:sz w:val="21"/>
              </w:rPr>
              <w:t>104</w:t>
            </w:r>
            <w:r>
              <w:rPr>
                <w:sz w:val="21"/>
              </w:rPr>
              <w:t>万。</w:t>
            </w:r>
          </w:p>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广东省佛山市质量技术监督标准与编码所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采购机构代理服务收费标准：本项目中标供应商向采购代理机构缴纳招标代理服务费：RMB7,500.00元（人民币柒仟伍佰元整）。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1，如招标公告与招标文件同一内容描述不一致的，以招标文件为准。</w:t>
            </w:r>
          </w:p>
          <w:p>
            <w:pPr>
              <w:jc w:val="left"/>
            </w:pPr>
            <w:r>
              <w:rPr/>
              <w:t>2，本招标文件内要求的扫描件或复印件，可以是原件的扫描件，也可以是复印件的扫描件。扫描件性质上可视为复印件。</w:t>
            </w:r>
          </w:p>
          <w:p>
            <w:pPr>
              <w:jc w:val="left"/>
            </w:pPr>
            <w:r>
              <w:rPr/>
              <w:t>3，因电子标系统相对固化，《政府采购供应商资格信用承诺函》格式详见招标公告附件。如供应商对本项目资格要求内财务状况报告、依法缴纳税收和社会保障资金、没有重大违法记录等证明材料采取《政府采购供应商资格信用承诺函》承诺的，请按此格式进行承诺，如未按此格式进行承诺，也未提供相应证明材料的，供应商自行承担不利后果。</w:t>
            </w:r>
          </w:p>
          <w:p>
            <w:pPr>
              <w:jc w:val="left"/>
            </w:pPr>
            <w:r>
              <w:rPr/>
              <w:t>4，经政府采购监管部门同意，本项目自动化静物产品拍摄系统允许采购进口产品。</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黄先生</w:t>
      </w:r>
    </w:p>
    <w:p>
      <w:pPr>
        <w:ind w:firstLine="480"/>
      </w:pPr>
      <w:r>
        <w:rPr/>
        <w:t>电话：</w:t>
      </w:r>
      <w:r>
        <w:rPr/>
        <w:t>0757-83279081</w:t>
      </w:r>
    </w:p>
    <w:p>
      <w:pPr>
        <w:ind w:firstLine="480"/>
      </w:pPr>
      <w:r>
        <w:rPr/>
        <w:t>传真：</w:t>
      </w:r>
      <w:r>
        <w:rPr/>
        <w:t>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省市场监督管理局商品数字化与物联网编码应用科普基地自动化静物产品拍摄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采购包1（广东省市场监督管理局商品数字化与物联网编码应用科普基地自动化静物产品拍摄系统）：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投标的所有货物均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认证证书或环境标志产品认证证书的产品给予1%的价格扣除。（提供投标产品有效期内的节能产品认证证书或环境标志产品认证证书扫描件；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当同时获得本表内序号1情形价格扣除和序号2情形价格扣除的，分别进行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采购包1（广东省市场监督管理局商品数字化与物联网编码应用科普基地自动化静物产品拍摄系统）：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供应商为自然人的提供自然人身份证明复印件；如国家另有规定的，则从其定。【分支机构投标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本采购包不专门面向中小企业采购</w:t>
            </w:r>
          </w:p>
        </w:tc>
        <w:tc>
          <w:tcPr>
            <w:tcW w:type="dxa" w:w="4238"/>
          </w:tcPr>
          <w:p>
            <w:r>
              <w:rPr/>
              <w:t>采购包不属于专门面向中小企业采购项目。</w:t>
            </w:r>
          </w:p>
        </w:tc>
      </w:tr>
    </w:tbl>
    <w:p/>
    <w:p>
      <w:pPr>
        <w:ind w:firstLine="480"/>
      </w:pPr>
      <w:r>
        <w:rPr/>
        <w:t>表二符合性审查表：</w:t>
      </w:r>
    </w:p>
    <w:p>
      <w:pPr>
        <w:ind w:firstLine="480"/>
      </w:pPr>
    </w:p>
    <w:p/>
    <w:p>
      <w:r>
        <w:rPr/>
        <w:t>采购包1（广东省市场监督管理局商品数字化与物联网编码应用科普基地自动化静物产品拍摄系统）：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投标文件满足公开招标文件中标注★号条款的。</w:t>
            </w:r>
          </w:p>
        </w:tc>
      </w:tr>
      <w:tr>
        <w:tc>
          <w:tcPr>
            <w:tcW w:type="dxa" w:w="890"/>
          </w:tcPr>
          <w:p>
            <w:r>
              <w:rPr/>
              <w:t>4</w:t>
            </w:r>
          </w:p>
        </w:tc>
        <w:tc>
          <w:tcPr>
            <w:tcW w:type="dxa" w:w="3178"/>
          </w:tcPr>
          <w:p>
            <w:r>
              <w:rPr/>
              <w:t>投标报价</w:t>
            </w:r>
          </w:p>
        </w:tc>
        <w:tc>
          <w:tcPr>
            <w:tcW w:type="dxa" w:w="4238"/>
          </w:tcPr>
          <w:p>
            <w:r>
              <w:rPr/>
              <w:t>投标报价未超过本项目采购预算。</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采购包1(广东省市场监督管理局商品数字化与物联网编码应用科普基地自动化静物产品拍摄系统):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 (23.0分)</w:t>
            </w:r>
          </w:p>
        </w:tc>
        <w:tc>
          <w:tcPr>
            <w:tcW w:type="dxa" w:w="5076"/>
          </w:tcPr>
          <w:p>
            <w:pPr>
              <w:jc w:val="left"/>
            </w:pPr>
            <w:r>
              <w:rPr/>
              <w:t>根据招标文件《第二章 采购需求》“技术标准与要求”中的指标响应程度进行评分：1、带“▲”参数：无偏离或正偏离的,每满足一项得4分，本小项最高得20分；2、不带“▲”或“★”参数：无偏离或正偏离的,每满足一项得1分，本小项最高3分；3、本项最高得23分。注：每一项是指技术标准与要求附表内“技术(参数)要求内的每一栏”。带“▲”条款的技术标准与要求须提供产品彩页证明扫描件或产品说明书扫描件或检测（校准）报告扫描件或官网截图或厂家(或代理商)盖章确认的技术参数确认函，否则不得分。为方便评审，建议将关键内容进行标注。</w:t>
            </w:r>
          </w:p>
        </w:tc>
      </w:tr>
      <w:tr>
        <w:tc>
          <w:tcPr>
            <w:tcW w:type="dxa" w:w="922"/>
            <w:gridSpan w:val="2"/>
            <w:vMerge/>
          </w:tcPr>
          <w:p/>
        </w:tc>
        <w:tc>
          <w:tcPr>
            <w:tcW w:type="dxa" w:w="2307"/>
          </w:tcPr>
          <w:p>
            <w:pPr>
              <w:jc w:val="left"/>
            </w:pPr>
            <w:r>
              <w:rPr/>
              <w:t>设备质量 (7.0分)</w:t>
            </w:r>
            <w:r>
              <w:rPr/>
              <w:t>，（等次分值选择：</w:t>
            </w:r>
            <w:r>
              <w:rPr/>
              <w:t>0.0;</w:t>
            </w:r>
            <w:r>
              <w:rPr/>
              <w:t>1.0;</w:t>
            </w:r>
            <w:r>
              <w:rPr/>
              <w:t>4.0;</w:t>
            </w:r>
            <w:r>
              <w:rPr/>
              <w:t>7.0;</w:t>
            </w:r>
            <w:r>
              <w:rPr/>
              <w:t>）</w:t>
            </w:r>
          </w:p>
        </w:tc>
        <w:tc>
          <w:tcPr>
            <w:tcW w:type="dxa" w:w="5076"/>
          </w:tcPr>
          <w:p>
            <w:pPr>
              <w:jc w:val="left"/>
            </w:pPr>
            <w:r>
              <w:rPr/>
              <w:t>根据所投设备质量的稳定性、可维护性进行评审：1.设备性能优，稳定性及可维护性高，得7分。2.设备性能基本稳定，可维护性较好，得4分。3.设备性能差，稳定性及可维护性差，得1分。4.其他或没有不得分。</w:t>
            </w:r>
          </w:p>
        </w:tc>
      </w:tr>
      <w:tr>
        <w:tc>
          <w:tcPr>
            <w:tcW w:type="dxa" w:w="922"/>
            <w:gridSpan w:val="2"/>
            <w:vMerge/>
          </w:tcPr>
          <w:p/>
        </w:tc>
        <w:tc>
          <w:tcPr>
            <w:tcW w:type="dxa" w:w="2307"/>
          </w:tcPr>
          <w:p>
            <w:pPr>
              <w:jc w:val="left"/>
            </w:pPr>
            <w:r>
              <w:rPr/>
              <w:t>实施方案 (10.0分)</w:t>
            </w:r>
            <w:r>
              <w:rPr/>
              <w:t>，（等次分值选择：</w:t>
            </w:r>
            <w:r>
              <w:rPr/>
              <w:t>0.0;</w:t>
            </w:r>
            <w:r>
              <w:rPr/>
              <w:t>1.0;</w:t>
            </w:r>
            <w:r>
              <w:rPr/>
              <w:t>4.0;</w:t>
            </w:r>
            <w:r>
              <w:rPr/>
              <w:t>7.0;</w:t>
            </w:r>
            <w:r>
              <w:rPr/>
              <w:t>10.0;</w:t>
            </w:r>
            <w:r>
              <w:rPr/>
              <w:t>）</w:t>
            </w:r>
          </w:p>
        </w:tc>
        <w:tc>
          <w:tcPr>
            <w:tcW w:type="dxa" w:w="5076"/>
          </w:tcPr>
          <w:p>
            <w:pPr>
              <w:jc w:val="left"/>
            </w:pPr>
            <w:r>
              <w:rPr/>
              <w:t>根据投标人提供的实施方案（包括但不限于运输方案、安装调试人员安排、安装调试计划流程、验收标准、验收保障方案等）进行评审：1、实施方案详细完整，可行性强，能完全满足招标文件要求的得10分；2、实施方案较详细完整，可行性较强，较能满足招标文件要求的得7分；3、实施方案基本完整，有一定可行性，基本满足招标文件要求的得4分；4、实施方案较差，可行性差，不满足招标文件要求的得1分；5、其他或没有提供不得分。</w:t>
            </w:r>
          </w:p>
        </w:tc>
      </w:tr>
      <w:tr>
        <w:tc>
          <w:tcPr>
            <w:tcW w:type="dxa" w:w="922"/>
            <w:gridSpan w:val="2"/>
            <w:vMerge w:val="restart"/>
          </w:tcPr>
          <w:p>
            <w:pPr>
              <w:jc w:val="center"/>
            </w:pPr>
            <w:r>
              <w:rPr/>
              <w:t>商务部分</w:t>
            </w:r>
          </w:p>
        </w:tc>
        <w:tc>
          <w:tcPr>
            <w:tcW w:type="dxa" w:w="2307"/>
          </w:tcPr>
          <w:p>
            <w:pPr>
              <w:jc w:val="left"/>
            </w:pPr>
            <w:r>
              <w:rPr/>
              <w:t>同类项目业绩 (15.0分)</w:t>
            </w:r>
            <w:r>
              <w:rPr/>
              <w:t>，（等次分值选择：</w:t>
            </w:r>
            <w:r>
              <w:rPr/>
              <w:t>0.0;</w:t>
            </w:r>
            <w:r>
              <w:rPr/>
              <w:t>3.0;</w:t>
            </w:r>
            <w:r>
              <w:rPr/>
              <w:t>6.0;</w:t>
            </w:r>
            <w:r>
              <w:rPr/>
              <w:t>9.0;</w:t>
            </w:r>
            <w:r>
              <w:rPr/>
              <w:t>12.0;</w:t>
            </w:r>
            <w:r>
              <w:rPr/>
              <w:t>15.0;</w:t>
            </w:r>
            <w:r>
              <w:rPr/>
              <w:t>）</w:t>
            </w:r>
          </w:p>
        </w:tc>
        <w:tc>
          <w:tcPr>
            <w:tcW w:type="dxa" w:w="5076"/>
          </w:tcPr>
          <w:p>
            <w:pPr>
              <w:jc w:val="left"/>
            </w:pPr>
            <w:r>
              <w:rPr/>
              <w:t>自2020年1月1日起以来（以合同签订时间为准），提供投标人完成的同类项目业绩，或提供所投产品业绩，每提供一项得3分，最高得15分。 注：须提供合同扫描件（含签订合同双方的单位名称、合同项目名称、合同主要内容、签订合同双方的落款盖章页）作为业绩证明资料。不提供或资料不全不得分。为方便评审，建议将关键内容进行标注。</w:t>
            </w:r>
          </w:p>
        </w:tc>
      </w:tr>
      <w:tr>
        <w:tc>
          <w:tcPr>
            <w:tcW w:type="dxa" w:w="922"/>
            <w:gridSpan w:val="2"/>
            <w:vMerge/>
          </w:tcPr>
          <w:p/>
        </w:tc>
        <w:tc>
          <w:tcPr>
            <w:tcW w:type="dxa" w:w="2307"/>
          </w:tcPr>
          <w:p>
            <w:pPr>
              <w:jc w:val="left"/>
            </w:pPr>
            <w:r>
              <w:rPr/>
              <w:t>售后服务响应 (5.0分)</w:t>
            </w:r>
            <w:r>
              <w:rPr/>
              <w:t>，（等次分值选择：</w:t>
            </w:r>
            <w:r>
              <w:rPr/>
              <w:t>0.0;</w:t>
            </w:r>
            <w:r>
              <w:rPr/>
              <w:t>3.0;</w:t>
            </w:r>
            <w:r>
              <w:rPr/>
              <w:t>5.0;</w:t>
            </w:r>
            <w:r>
              <w:rPr/>
              <w:t>）</w:t>
            </w:r>
          </w:p>
        </w:tc>
        <w:tc>
          <w:tcPr>
            <w:tcW w:type="dxa" w:w="5076"/>
          </w:tcPr>
          <w:p>
            <w:pPr>
              <w:jc w:val="left"/>
            </w:pPr>
            <w:r>
              <w:rPr/>
              <w:t>1.接到用户报修后，电话及时响应，并能在48（含）小时内到达现场解决问题或提供备品、备件，确保设备正常使用，得5分； 2.接到用户报修后，电话及时响应，并能在48（不含）-72（含）小时内到达现场解决问题或提供备品、备件，确保设备正常使用，得3分； 3.其他情况得0分； 注：须提供承诺函并加盖投标人公章作为证明材料，承诺函格式自拟，不提供不得分。</w:t>
            </w:r>
          </w:p>
        </w:tc>
      </w:tr>
      <w:tr>
        <w:tc>
          <w:tcPr>
            <w:tcW w:type="dxa" w:w="922"/>
            <w:gridSpan w:val="2"/>
            <w:vMerge/>
          </w:tcPr>
          <w:p/>
        </w:tc>
        <w:tc>
          <w:tcPr>
            <w:tcW w:type="dxa" w:w="2307"/>
          </w:tcPr>
          <w:p>
            <w:pPr>
              <w:jc w:val="left"/>
            </w:pPr>
            <w:r>
              <w:rPr/>
              <w:t>质保期限 (5.0分)</w:t>
            </w:r>
            <w:r>
              <w:rPr/>
              <w:t>，（等次分值选择：</w:t>
            </w:r>
            <w:r>
              <w:rPr/>
              <w:t>0.0;</w:t>
            </w:r>
            <w:r>
              <w:rPr/>
              <w:t>2.5;</w:t>
            </w:r>
            <w:r>
              <w:rPr/>
              <w:t>5.0;</w:t>
            </w:r>
            <w:r>
              <w:rPr/>
              <w:t>）</w:t>
            </w:r>
          </w:p>
        </w:tc>
        <w:tc>
          <w:tcPr>
            <w:tcW w:type="dxa" w:w="5076"/>
          </w:tcPr>
          <w:p>
            <w:pPr>
              <w:jc w:val="left"/>
            </w:pPr>
            <w:r>
              <w:rPr/>
              <w:t>根据投标人承诺的质保期进行评审：满足采购人需求基础上，质保期每延长一年得2.5分，本项最高得5分。 注：须提供承诺函并加盖投标人公章作为证明材料（承诺函格式自拟），其他或不提供不得分。</w:t>
            </w:r>
          </w:p>
        </w:tc>
      </w:tr>
      <w:tr>
        <w:tc>
          <w:tcPr>
            <w:tcW w:type="dxa" w:w="922"/>
            <w:gridSpan w:val="2"/>
            <w:vMerge/>
          </w:tcPr>
          <w:p/>
        </w:tc>
        <w:tc>
          <w:tcPr>
            <w:tcW w:type="dxa" w:w="2307"/>
          </w:tcPr>
          <w:p>
            <w:pPr>
              <w:jc w:val="left"/>
            </w:pPr>
            <w:r>
              <w:rPr/>
              <w:t>培训方案设置 (5.0分)</w:t>
            </w:r>
            <w:r>
              <w:rPr/>
              <w:t>，（等次分值选择：</w:t>
            </w:r>
            <w:r>
              <w:rPr/>
              <w:t>0.0;</w:t>
            </w:r>
            <w:r>
              <w:rPr/>
              <w:t>1.0;</w:t>
            </w:r>
            <w:r>
              <w:rPr/>
              <w:t>2.0;</w:t>
            </w:r>
            <w:r>
              <w:rPr/>
              <w:t>3.0;</w:t>
            </w:r>
            <w:r>
              <w:rPr/>
              <w:t>5.0;</w:t>
            </w:r>
            <w:r>
              <w:rPr/>
              <w:t>）</w:t>
            </w:r>
          </w:p>
        </w:tc>
        <w:tc>
          <w:tcPr>
            <w:tcW w:type="dxa" w:w="5076"/>
          </w:tcPr>
          <w:p>
            <w:pPr>
              <w:jc w:val="left"/>
            </w:pPr>
            <w:r>
              <w:rPr/>
              <w:t>根据投标人拟投入人员的培训能力、专业技术水平、培训方案等方面是否全面、科学、合理、可行等进行评审： 1、拟投入培训人员的配置、拟实行的培训方案非常符合本项目的实际需要，全面、科学、合理、可行，维护服务人员对相关设备非常熟练，完全满足采购要求的得5分； 2、拟投入培训人员的配置、拟实行的培训方案比较符合本项目的实际需要，培训方案比较全面、合理、可行，维护服务人员对相关设备比较熟练，基本能满足采购要求的得3分； 3、拟投入培训人员的配置、拟实行的培训方案不太符合本项目的实际需要，维护服务人员对相关设备不熟悉，不太满足采购要求的得1分； 4、不提供不得分。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投标（响应）报价得分=(评标基准价／投标（响应）报价)×价格权重×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p>
    <w:p>
      <w:pPr>
        <w:jc w:val="center"/>
      </w:pPr>
      <w:r>
        <w:rPr>
          <w:b/>
          <w:sz w:val="32"/>
        </w:rPr>
        <w:t>合同文本</w:t>
      </w:r>
    </w:p>
    <w:p/>
    <w:p/>
    <w:p/>
    <w:p>
      <w:pPr>
        <w:jc w:val="center"/>
      </w:pPr>
    </w:p>
    <w:p>
      <w:pPr>
        <w:jc w:val="center"/>
      </w:pPr>
    </w:p>
    <w:p>
      <w:pPr>
        <w:jc w:val="center"/>
      </w:pPr>
    </w:p>
    <w:p>
      <w:pPr>
        <w:jc w:val="center"/>
      </w:pPr>
    </w:p>
    <w:p>
      <w:pPr>
        <w:ind w:firstLine="420"/>
        <w:jc w:val="both"/>
      </w:pPr>
    </w:p>
    <w:p>
      <w:pPr>
        <w:jc w:val="center"/>
      </w:pPr>
    </w:p>
    <w:p>
      <w:pPr>
        <w:jc w:val="center"/>
      </w:pPr>
    </w:p>
    <w:p>
      <w:pPr>
        <w:jc w:val="center"/>
      </w:pPr>
    </w:p>
    <w:p>
      <w:pPr>
        <w:jc w:val="center"/>
      </w:pPr>
      <w:r>
        <w:rPr>
          <w:b/>
          <w:sz w:val="21"/>
        </w:rPr>
        <w:t xml:space="preserve"> </w:t>
      </w:r>
    </w:p>
    <w:p>
      <w:pPr>
        <w:jc w:val="center"/>
      </w:pPr>
      <w:r>
        <w:rPr>
          <w:b/>
          <w:sz w:val="48"/>
        </w:rPr>
        <w:t>广东省政府采购</w:t>
      </w:r>
    </w:p>
    <w:p>
      <w:pPr>
        <w:jc w:val="both"/>
      </w:pPr>
      <w:r>
        <w:rPr>
          <w:b/>
          <w:sz w:val="21"/>
        </w:rPr>
        <w:t xml:space="preserve"> </w:t>
      </w:r>
    </w:p>
    <w:p>
      <w:pPr>
        <w:jc w:val="center"/>
      </w:pPr>
      <w:r>
        <w:rPr>
          <w:b/>
          <w:sz w:val="48"/>
        </w:rPr>
        <w:t>合　同　书</w:t>
      </w:r>
    </w:p>
    <w:p>
      <w:pPr>
        <w:jc w:val="center"/>
      </w:pPr>
    </w:p>
    <w:p>
      <w:pPr>
        <w:ind w:firstLine="420"/>
        <w:jc w:val="both"/>
      </w:pPr>
    </w:p>
    <w:p>
      <w:pPr>
        <w:ind w:firstLine="420"/>
        <w:jc w:val="both"/>
      </w:pPr>
    </w:p>
    <w:p>
      <w:pPr>
        <w:ind w:firstLine="420"/>
        <w:jc w:val="both"/>
      </w:pPr>
    </w:p>
    <w:p>
      <w:pPr>
        <w:ind w:firstLine="420"/>
        <w:jc w:val="both"/>
      </w:pPr>
    </w:p>
    <w:p>
      <w:pPr>
        <w:jc w:val="center"/>
      </w:pPr>
      <w:r>
        <w:rPr>
          <w:sz w:val="21"/>
        </w:rPr>
        <w:t xml:space="preserve"> </w:t>
      </w:r>
    </w:p>
    <w:p>
      <w:pPr>
        <w:jc w:val="center"/>
      </w:pPr>
      <w:r>
        <w:rPr>
          <w:b/>
          <w:color w:val="222222"/>
          <w:sz w:val="28"/>
        </w:rPr>
        <w:t>合同编号：</w:t>
      </w:r>
      <w:r>
        <w:rPr>
          <w:b/>
          <w:color w:val="222222"/>
          <w:sz w:val="28"/>
        </w:rPr>
        <w:t>440001202322353</w:t>
      </w:r>
      <w:r>
        <w:rPr>
          <w:b/>
          <w:sz w:val="21"/>
        </w:rPr>
        <w:t xml:space="preserve">                                        </w:t>
      </w:r>
    </w:p>
    <w:p>
      <w:pPr>
        <w:jc w:val="center"/>
      </w:pPr>
    </w:p>
    <w:p>
      <w:pPr>
        <w:jc w:val="center"/>
      </w:pPr>
      <w:r>
        <w:rPr>
          <w:b/>
          <w:sz w:val="28"/>
        </w:rPr>
        <w:t xml:space="preserve">   </w:t>
      </w:r>
      <w:r>
        <w:rPr>
          <w:b/>
          <w:sz w:val="28"/>
        </w:rPr>
        <w:t>合同名称：</w:t>
      </w:r>
      <w:r>
        <w:rPr>
          <w:b/>
          <w:sz w:val="28"/>
        </w:rPr>
        <w:t>广东省市场监督管理局商品数字化与物联网编码应用科普基地自动化静物产品拍摄系统</w:t>
      </w:r>
      <w:r>
        <w:rPr>
          <w:b/>
          <w:sz w:val="21"/>
        </w:rPr>
        <w:t xml:space="preserve">                              </w:t>
      </w:r>
    </w:p>
    <w:p>
      <w:pPr>
        <w:jc w:val="center"/>
      </w:pPr>
      <w:r>
        <w:rPr>
          <w:b/>
          <w:sz w:val="28"/>
        </w:rPr>
        <w:t xml:space="preserve">   </w:t>
      </w:r>
      <w:r>
        <w:rPr>
          <w:b/>
          <w:sz w:val="28"/>
        </w:rPr>
        <w:t>项目名称：</w:t>
      </w:r>
      <w:r>
        <w:rPr>
          <w:b/>
          <w:sz w:val="28"/>
        </w:rPr>
        <w:t>广东省市场监督管理局商品数字化与物联网编码应用科普基地自动化静物产品拍摄系统</w:t>
      </w:r>
      <w:r>
        <w:rPr>
          <w:b/>
          <w:sz w:val="21"/>
        </w:rPr>
        <w:t xml:space="preserve">     </w:t>
      </w:r>
      <w:r>
        <w:rPr>
          <w:b/>
          <w:sz w:val="21"/>
        </w:rPr>
        <w:t xml:space="preserve">                              </w:t>
      </w:r>
    </w:p>
    <w:p>
      <w:pPr>
        <w:jc w:val="center"/>
      </w:pPr>
      <w:r>
        <w:rPr>
          <w:b/>
          <w:sz w:val="28"/>
        </w:rPr>
        <w:t>项目编号：</w:t>
      </w:r>
      <w:r>
        <w:rPr>
          <w:b/>
          <w:color w:val="222222"/>
          <w:sz w:val="28"/>
        </w:rPr>
        <w:t>440001202322353</w:t>
      </w:r>
      <w:r>
        <w:rPr>
          <w:b/>
          <w:sz w:val="21"/>
        </w:rPr>
        <w:t xml:space="preserve">  </w:t>
      </w:r>
      <w:r>
        <w:rPr>
          <w:b/>
          <w:sz w:val="21"/>
        </w:rPr>
        <w:t xml:space="preserve">                              </w:t>
      </w:r>
    </w:p>
    <w:p>
      <w:pPr>
        <w:jc w:val="center"/>
      </w:pPr>
      <w:r>
        <w:rPr>
          <w:b/>
          <w:sz w:val="28"/>
        </w:rPr>
        <w:t xml:space="preserve">      </w:t>
      </w:r>
      <w:r>
        <w:rPr>
          <w:b/>
          <w:sz w:val="28"/>
        </w:rPr>
        <w:t>采购计划备案编</w:t>
      </w:r>
      <w:r>
        <w:rPr>
          <w:b/>
          <w:color w:val="222222"/>
          <w:sz w:val="28"/>
        </w:rPr>
        <w:t>号：</w:t>
      </w:r>
      <w:r>
        <w:rPr>
          <w:b/>
          <w:color w:val="222222"/>
          <w:sz w:val="28"/>
        </w:rPr>
        <w:t>440001-2023-21743</w:t>
      </w:r>
      <w:r>
        <w:rPr>
          <w:b/>
          <w:sz w:val="21"/>
        </w:rPr>
        <w:t xml:space="preserve"> </w:t>
      </w:r>
      <w:r>
        <w:rPr>
          <w:b/>
          <w:sz w:val="21"/>
        </w:rPr>
        <w:t xml:space="preserve">                       </w:t>
      </w:r>
    </w:p>
    <w:p>
      <w:pPr>
        <w:jc w:val="center"/>
      </w:pPr>
      <w:r>
        <w:rPr>
          <w:b/>
          <w:sz w:val="21"/>
        </w:rPr>
        <w:t xml:space="preserve">             </w:t>
      </w:r>
    </w:p>
    <w:p>
      <w:pPr>
        <w:jc w:val="center"/>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both"/>
      </w:pPr>
    </w:p>
    <w:p>
      <w:r>
        <w:rPr>
          <w:sz w:val="21"/>
        </w:rPr>
        <w:t>甲方（采购人）：</w:t>
      </w:r>
      <w:r>
        <w:rPr>
          <w:sz w:val="21"/>
        </w:rPr>
        <w:t>广东省佛山市质量技术监督标准与编码所</w:t>
      </w:r>
    </w:p>
    <w:p>
      <w:r>
        <w:rPr/>
        <w:t xml:space="preserve"> </w:t>
      </w:r>
    </w:p>
    <w:p>
      <w:pPr>
        <w:jc w:val="both"/>
      </w:pPr>
      <w:r>
        <w:rPr>
          <w:sz w:val="21"/>
        </w:rPr>
        <w:t>电话：</w:t>
      </w:r>
      <w:r>
        <w:rPr>
          <w:sz w:val="21"/>
        </w:rPr>
        <w:t>0757-82281916</w:t>
      </w:r>
      <w:r>
        <w:rPr>
          <w:sz w:val="21"/>
        </w:rPr>
        <w:t xml:space="preserve">                  </w:t>
      </w:r>
    </w:p>
    <w:p>
      <w:pPr>
        <w:jc w:val="both"/>
      </w:pPr>
      <w:r>
        <w:rPr>
          <w:sz w:val="21"/>
        </w:rPr>
        <w:t>地址：</w:t>
      </w:r>
      <w:r>
        <w:rPr>
          <w:sz w:val="21"/>
        </w:rPr>
        <w:t>广东省佛山市禅城区人民路</w:t>
      </w:r>
      <w:r>
        <w:rPr>
          <w:sz w:val="21"/>
        </w:rPr>
        <w:t>76</w:t>
      </w:r>
      <w:r>
        <w:rPr>
          <w:sz w:val="21"/>
        </w:rPr>
        <w:t>号</w:t>
      </w:r>
    </w:p>
    <w:p>
      <w:pPr>
        <w:jc w:val="both"/>
      </w:pPr>
    </w:p>
    <w:p>
      <w:pPr>
        <w:jc w:val="both"/>
      </w:pPr>
      <w:r>
        <w:rPr>
          <w:sz w:val="21"/>
        </w:rPr>
        <w:t>乙方（中标人）：</w:t>
      </w:r>
    </w:p>
    <w:p>
      <w:pPr>
        <w:jc w:val="both"/>
      </w:pPr>
      <w:r>
        <w:rPr>
          <w:sz w:val="21"/>
        </w:rPr>
        <w:t>电话：</w:t>
      </w:r>
      <w:r>
        <w:rPr>
          <w:sz w:val="21"/>
        </w:rPr>
        <w:t xml:space="preserve">                            </w:t>
      </w:r>
      <w:r>
        <w:rPr>
          <w:sz w:val="21"/>
        </w:rPr>
        <w:t>联系人：</w:t>
      </w:r>
    </w:p>
    <w:p>
      <w:pPr>
        <w:jc w:val="both"/>
      </w:pPr>
      <w:r>
        <w:rPr>
          <w:sz w:val="21"/>
        </w:rPr>
        <w:t>地址：</w:t>
      </w:r>
    </w:p>
    <w:p>
      <w:pPr>
        <w:ind w:firstLine="420"/>
        <w:jc w:val="both"/>
      </w:pPr>
    </w:p>
    <w:p>
      <w:pPr>
        <w:ind w:firstLine="420"/>
        <w:jc w:val="both"/>
      </w:pPr>
      <w:r>
        <w:rPr>
          <w:sz w:val="21"/>
        </w:rPr>
        <w:t>根据</w:t>
      </w:r>
      <w:r>
        <w:rPr>
          <w:b/>
          <w:sz w:val="21"/>
        </w:rPr>
        <w:t>广东省市场监督管理局商品数字化与物联网编码应用科普基地自动化静物产品拍摄系统</w:t>
      </w:r>
      <w:r>
        <w:rPr>
          <w:sz w:val="21"/>
        </w:rPr>
        <w:t>，项目编号：</w:t>
      </w:r>
      <w:r>
        <w:rPr>
          <w:sz w:val="21"/>
          <w:u w:val="single"/>
        </w:rPr>
        <w:t>440001202322353</w:t>
      </w:r>
      <w:r>
        <w:rPr>
          <w:sz w:val="21"/>
        </w:rPr>
        <w:t>的采购结果，按照《中华人民共和国政府采购法》、《中华人民共和国民法典（合同编）》的规定，经双方协商，本着平等互利和诚实信用的原则，一致同意签订本合同如下。</w:t>
      </w:r>
    </w:p>
    <w:p>
      <w:pPr>
        <w:ind w:firstLine="420"/>
        <w:jc w:val="both"/>
      </w:pPr>
      <w:r>
        <w:rPr>
          <w:sz w:val="21"/>
        </w:rPr>
        <w:t>本项目严格落实《关于环境标志产品政府采购实施的意见》（财库</w:t>
      </w:r>
      <w:r>
        <w:rPr>
          <w:sz w:val="21"/>
        </w:rPr>
        <w:t>[2006]90</w:t>
      </w:r>
      <w:r>
        <w:rPr>
          <w:sz w:val="21"/>
        </w:rPr>
        <w:t>号）、《节能产品政府采购实施意见》（财库［</w:t>
      </w:r>
      <w:r>
        <w:rPr>
          <w:sz w:val="21"/>
        </w:rPr>
        <w:t>2004</w:t>
      </w:r>
      <w:r>
        <w:rPr>
          <w:sz w:val="21"/>
        </w:rPr>
        <w:t>］</w:t>
      </w:r>
      <w:r>
        <w:rPr>
          <w:sz w:val="21"/>
        </w:rPr>
        <w:t>185</w:t>
      </w:r>
      <w:r>
        <w:rPr>
          <w:sz w:val="21"/>
        </w:rPr>
        <w:t>号）、《财政部 发展改革委 生态环境部 市场监管总局关于调整优化节能产品、环境标志产品政府采购执行机制的通知》（财库〔</w:t>
      </w:r>
      <w:r>
        <w:rPr>
          <w:sz w:val="21"/>
        </w:rPr>
        <w:t>2019</w:t>
      </w:r>
      <w:r>
        <w:rPr>
          <w:sz w:val="21"/>
        </w:rPr>
        <w:t>〕</w:t>
      </w:r>
      <w:r>
        <w:rPr>
          <w:sz w:val="21"/>
        </w:rPr>
        <w:t>9</w:t>
      </w:r>
      <w:r>
        <w:rPr>
          <w:sz w:val="21"/>
        </w:rPr>
        <w:t>号）、《关于印发〈商品包装政府采购需求标准（试行）〉、〈快递包装政府采购需求标准（试行）〉的通知》等要求。</w:t>
      </w:r>
    </w:p>
    <w:p>
      <w:pPr>
        <w:ind w:firstLine="420"/>
        <w:jc w:val="both"/>
      </w:pPr>
      <w:r>
        <w:rPr>
          <w:sz w:val="21"/>
        </w:rPr>
        <w:t>货物所有功能必须能在同一时间下满足。</w:t>
      </w:r>
    </w:p>
    <w:p>
      <w:pPr>
        <w:ind w:firstLine="420"/>
        <w:jc w:val="both"/>
      </w:pPr>
      <w:r>
        <w:rPr>
          <w:sz w:val="21"/>
        </w:rPr>
        <w:t>本项目不允许分包。</w:t>
      </w:r>
    </w:p>
    <w:p>
      <w:pPr>
        <w:jc w:val="both"/>
      </w:pPr>
      <w:r>
        <w:rPr>
          <w:b/>
          <w:sz w:val="21"/>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561"/>
        <w:gridCol w:w="1266"/>
        <w:gridCol w:w="574"/>
        <w:gridCol w:w="1815"/>
        <w:gridCol w:w="822"/>
        <w:gridCol w:w="639"/>
        <w:gridCol w:w="1070"/>
        <w:gridCol w:w="1240"/>
      </w:tblGrid>
      <w:tr>
        <w:tc>
          <w:tcPr>
            <w:tcW w:type="dxa" w:w="56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66"/>
            <w:tcBorders>
              <w:top w:val="single" w:color="000000" w:sz="4"/>
              <w:left w:val="none" w:color="000000" w:sz="4"/>
              <w:bottom w:val="single" w:color="000000" w:sz="4"/>
              <w:right w:val="single" w:color="000000" w:sz="4"/>
            </w:tcBorders>
            <w:vAlign w:val="top"/>
          </w:tcPr>
          <w:p>
            <w:pPr>
              <w:jc w:val="center"/>
            </w:pPr>
            <w:r>
              <w:rPr>
                <w:sz w:val="21"/>
              </w:rPr>
              <w:t>商品名称</w:t>
            </w:r>
          </w:p>
        </w:tc>
        <w:tc>
          <w:tcPr>
            <w:tcW w:type="dxa" w:w="574"/>
            <w:tcBorders>
              <w:top w:val="single" w:color="000000" w:sz="4"/>
              <w:left w:val="none" w:color="000000" w:sz="4"/>
              <w:bottom w:val="single" w:color="000000" w:sz="4"/>
              <w:right w:val="single" w:color="000000" w:sz="4"/>
            </w:tcBorders>
            <w:vAlign w:val="top"/>
          </w:tcPr>
          <w:p>
            <w:pPr>
              <w:jc w:val="center"/>
            </w:pPr>
            <w:r>
              <w:rPr>
                <w:sz w:val="21"/>
              </w:rPr>
              <w:t>品牌</w:t>
            </w:r>
          </w:p>
        </w:tc>
        <w:tc>
          <w:tcPr>
            <w:tcW w:type="dxa" w:w="1815"/>
            <w:tcBorders>
              <w:top w:val="single" w:color="000000" w:sz="4"/>
              <w:left w:val="none" w:color="000000" w:sz="4"/>
              <w:bottom w:val="single" w:color="000000" w:sz="4"/>
              <w:right w:val="single" w:color="000000" w:sz="4"/>
            </w:tcBorders>
            <w:vAlign w:val="top"/>
          </w:tcPr>
          <w:p>
            <w:pPr>
              <w:jc w:val="center"/>
            </w:pPr>
            <w:r>
              <w:rPr>
                <w:sz w:val="21"/>
              </w:rPr>
              <w:t>规格型号、配置（性能参数</w:t>
            </w:r>
          </w:p>
          <w:p>
            <w:pPr>
              <w:jc w:val="center"/>
            </w:pPr>
            <w:r>
              <w:rPr>
                <w:sz w:val="21"/>
              </w:rPr>
              <w:t>详见附件）</w:t>
            </w:r>
          </w:p>
        </w:tc>
        <w:tc>
          <w:tcPr>
            <w:tcW w:type="dxa" w:w="822"/>
            <w:tcBorders>
              <w:top w:val="single" w:color="000000" w:sz="4"/>
              <w:left w:val="none" w:color="000000" w:sz="4"/>
              <w:bottom w:val="single" w:color="000000" w:sz="4"/>
              <w:right w:val="single" w:color="000000" w:sz="4"/>
            </w:tcBorders>
            <w:vAlign w:val="top"/>
          </w:tcPr>
          <w:p>
            <w:pPr>
              <w:jc w:val="center"/>
            </w:pPr>
            <w:r>
              <w:rPr>
                <w:sz w:val="21"/>
              </w:rPr>
              <w:t>产地</w:t>
            </w:r>
          </w:p>
        </w:tc>
        <w:tc>
          <w:tcPr>
            <w:tcW w:type="dxa" w:w="639"/>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1070"/>
            <w:tcBorders>
              <w:top w:val="single" w:color="000000" w:sz="4"/>
              <w:left w:val="none" w:color="000000" w:sz="4"/>
              <w:bottom w:val="single" w:color="000000" w:sz="4"/>
              <w:right w:val="single" w:color="000000" w:sz="4"/>
            </w:tcBorders>
            <w:vAlign w:val="top"/>
          </w:tcPr>
          <w:p>
            <w:pPr>
              <w:jc w:val="center"/>
            </w:pPr>
            <w:r>
              <w:rPr>
                <w:sz w:val="21"/>
              </w:rPr>
              <w:t>单价</w:t>
            </w:r>
            <w:r>
              <w:rPr>
                <w:sz w:val="21"/>
              </w:rPr>
              <w:t>(</w:t>
            </w:r>
            <w:r>
              <w:rPr>
                <w:sz w:val="21"/>
              </w:rPr>
              <w:t>元</w:t>
            </w:r>
            <w:r>
              <w:rPr>
                <w:sz w:val="21"/>
              </w:rPr>
              <w:t>)</w:t>
            </w:r>
          </w:p>
        </w:tc>
        <w:tc>
          <w:tcPr>
            <w:tcW w:type="dxa" w:w="1240"/>
            <w:tcBorders>
              <w:top w:val="single" w:color="000000" w:sz="4"/>
              <w:left w:val="none" w:color="000000" w:sz="4"/>
              <w:bottom w:val="single" w:color="000000" w:sz="4"/>
              <w:right w:val="single" w:color="000000" w:sz="4"/>
            </w:tcBorders>
            <w:vAlign w:val="top"/>
          </w:tcPr>
          <w:p>
            <w:pPr>
              <w:jc w:val="center"/>
            </w:pPr>
            <w:r>
              <w:rPr>
                <w:sz w:val="21"/>
              </w:rPr>
              <w:t>金额</w:t>
            </w:r>
            <w:r>
              <w:rPr>
                <w:sz w:val="21"/>
              </w:rPr>
              <w:t>(</w:t>
            </w:r>
            <w:r>
              <w:rPr>
                <w:sz w:val="21"/>
              </w:rPr>
              <w:t>元</w:t>
            </w:r>
            <w:r>
              <w:rPr>
                <w:sz w:val="21"/>
              </w:rPr>
              <w:t>)</w:t>
            </w:r>
          </w:p>
        </w:tc>
      </w:tr>
      <w:tr>
        <w:tc>
          <w:tcPr>
            <w:tcW w:type="dxa" w:w="56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66"/>
            <w:tcBorders>
              <w:top w:val="none" w:color="000000" w:sz="4"/>
              <w:left w:val="none" w:color="000000" w:sz="4"/>
              <w:bottom w:val="single" w:color="000000" w:sz="4"/>
              <w:right w:val="single" w:color="000000" w:sz="4"/>
            </w:tcBorders>
            <w:vAlign w:val="top"/>
          </w:tcPr>
          <w:p>
            <w:pPr>
              <w:jc w:val="left"/>
            </w:pPr>
          </w:p>
        </w:tc>
        <w:tc>
          <w:tcPr>
            <w:tcW w:type="dxa" w:w="574"/>
            <w:tcBorders>
              <w:top w:val="none" w:color="000000" w:sz="4"/>
              <w:left w:val="none" w:color="000000" w:sz="4"/>
              <w:bottom w:val="single" w:color="000000" w:sz="4"/>
              <w:right w:val="single" w:color="000000" w:sz="4"/>
            </w:tcBorders>
            <w:vAlign w:val="top"/>
          </w:tcPr>
          <w:p>
            <w:pPr>
              <w:jc w:val="center"/>
            </w:pPr>
          </w:p>
        </w:tc>
        <w:tc>
          <w:tcPr>
            <w:tcW w:type="dxa" w:w="1815"/>
            <w:tcBorders>
              <w:top w:val="none" w:color="000000" w:sz="4"/>
              <w:left w:val="none" w:color="000000" w:sz="4"/>
              <w:bottom w:val="single" w:color="000000" w:sz="4"/>
              <w:right w:val="single" w:color="000000" w:sz="4"/>
            </w:tcBorders>
            <w:vAlign w:val="top"/>
          </w:tcPr>
          <w:p>
            <w:pPr>
              <w:jc w:val="center"/>
            </w:pPr>
          </w:p>
        </w:tc>
        <w:tc>
          <w:tcPr>
            <w:tcW w:type="dxa" w:w="822"/>
            <w:tcBorders>
              <w:top w:val="none" w:color="000000" w:sz="4"/>
              <w:left w:val="none" w:color="000000" w:sz="4"/>
              <w:bottom w:val="single" w:color="000000" w:sz="4"/>
              <w:right w:val="single" w:color="000000" w:sz="4"/>
            </w:tcBorders>
            <w:vAlign w:val="top"/>
          </w:tcPr>
          <w:p>
            <w:pPr>
              <w:jc w:val="center"/>
            </w:pPr>
          </w:p>
        </w:tc>
        <w:tc>
          <w:tcPr>
            <w:tcW w:type="dxa" w:w="639"/>
            <w:tcBorders>
              <w:top w:val="none" w:color="000000" w:sz="4"/>
              <w:left w:val="none" w:color="000000" w:sz="4"/>
              <w:bottom w:val="single" w:color="000000" w:sz="4"/>
              <w:right w:val="single" w:color="000000" w:sz="4"/>
            </w:tcBorders>
            <w:vAlign w:val="top"/>
          </w:tcPr>
          <w:p>
            <w:pPr>
              <w:jc w:val="center"/>
            </w:pPr>
          </w:p>
        </w:tc>
        <w:tc>
          <w:tcPr>
            <w:tcW w:type="dxa" w:w="1070"/>
            <w:tcBorders>
              <w:top w:val="none" w:color="000000" w:sz="4"/>
              <w:left w:val="none" w:color="000000" w:sz="4"/>
              <w:bottom w:val="single" w:color="000000" w:sz="4"/>
              <w:right w:val="single" w:color="000000" w:sz="4"/>
            </w:tcBorders>
            <w:vAlign w:val="top"/>
          </w:tcPr>
          <w:p>
            <w:pPr>
              <w:jc w:val="center"/>
            </w:pPr>
          </w:p>
        </w:tc>
        <w:tc>
          <w:tcPr>
            <w:tcW w:type="dxa" w:w="1240"/>
            <w:tcBorders>
              <w:top w:val="none" w:color="000000" w:sz="4"/>
              <w:left w:val="none" w:color="000000" w:sz="4"/>
              <w:bottom w:val="single" w:color="000000" w:sz="4"/>
              <w:right w:val="single" w:color="000000" w:sz="4"/>
            </w:tcBorders>
            <w:vAlign w:val="top"/>
          </w:tcPr>
          <w:p>
            <w:pPr>
              <w:jc w:val="center"/>
            </w:pPr>
          </w:p>
        </w:tc>
      </w:tr>
      <w:tr>
        <w:tc>
          <w:tcPr>
            <w:tcW w:type="dxa" w:w="56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66"/>
            <w:tcBorders>
              <w:top w:val="none" w:color="000000" w:sz="4"/>
              <w:left w:val="none" w:color="000000" w:sz="4"/>
              <w:bottom w:val="single" w:color="000000" w:sz="4"/>
              <w:right w:val="single" w:color="000000" w:sz="4"/>
            </w:tcBorders>
            <w:vAlign w:val="top"/>
          </w:tcPr>
          <w:p>
            <w:pPr>
              <w:jc w:val="left"/>
            </w:pPr>
          </w:p>
        </w:tc>
        <w:tc>
          <w:tcPr>
            <w:tcW w:type="dxa" w:w="574"/>
            <w:tcBorders>
              <w:top w:val="none" w:color="000000" w:sz="4"/>
              <w:left w:val="none" w:color="000000" w:sz="4"/>
              <w:bottom w:val="single" w:color="000000" w:sz="4"/>
              <w:right w:val="single" w:color="000000" w:sz="4"/>
            </w:tcBorders>
            <w:vAlign w:val="top"/>
          </w:tcPr>
          <w:p>
            <w:pPr>
              <w:jc w:val="center"/>
            </w:pPr>
          </w:p>
        </w:tc>
        <w:tc>
          <w:tcPr>
            <w:tcW w:type="dxa" w:w="1815"/>
            <w:tcBorders>
              <w:top w:val="none" w:color="000000" w:sz="4"/>
              <w:left w:val="none" w:color="000000" w:sz="4"/>
              <w:bottom w:val="single" w:color="000000" w:sz="4"/>
              <w:right w:val="single" w:color="000000" w:sz="4"/>
            </w:tcBorders>
            <w:vAlign w:val="top"/>
          </w:tcPr>
          <w:p>
            <w:pPr>
              <w:jc w:val="center"/>
            </w:pPr>
          </w:p>
        </w:tc>
        <w:tc>
          <w:tcPr>
            <w:tcW w:type="dxa" w:w="822"/>
            <w:tcBorders>
              <w:top w:val="none" w:color="000000" w:sz="4"/>
              <w:left w:val="none" w:color="000000" w:sz="4"/>
              <w:bottom w:val="single" w:color="000000" w:sz="4"/>
              <w:right w:val="single" w:color="000000" w:sz="4"/>
            </w:tcBorders>
            <w:vAlign w:val="top"/>
          </w:tcPr>
          <w:p>
            <w:pPr>
              <w:jc w:val="center"/>
            </w:pPr>
          </w:p>
        </w:tc>
        <w:tc>
          <w:tcPr>
            <w:tcW w:type="dxa" w:w="639"/>
            <w:tcBorders>
              <w:top w:val="none" w:color="000000" w:sz="4"/>
              <w:left w:val="none" w:color="000000" w:sz="4"/>
              <w:bottom w:val="single" w:color="000000" w:sz="4"/>
              <w:right w:val="single" w:color="000000" w:sz="4"/>
            </w:tcBorders>
            <w:vAlign w:val="top"/>
          </w:tcPr>
          <w:p>
            <w:pPr>
              <w:jc w:val="center"/>
            </w:pPr>
          </w:p>
        </w:tc>
        <w:tc>
          <w:tcPr>
            <w:tcW w:type="dxa" w:w="1070"/>
            <w:tcBorders>
              <w:top w:val="none" w:color="000000" w:sz="4"/>
              <w:left w:val="none" w:color="000000" w:sz="4"/>
              <w:bottom w:val="single" w:color="000000" w:sz="4"/>
              <w:right w:val="single" w:color="000000" w:sz="4"/>
            </w:tcBorders>
            <w:vAlign w:val="top"/>
          </w:tcPr>
          <w:p>
            <w:pPr>
              <w:jc w:val="center"/>
            </w:pPr>
          </w:p>
        </w:tc>
        <w:tc>
          <w:tcPr>
            <w:tcW w:type="dxa" w:w="1240"/>
            <w:tcBorders>
              <w:top w:val="none" w:color="000000" w:sz="4"/>
              <w:left w:val="none" w:color="000000" w:sz="4"/>
              <w:bottom w:val="single" w:color="000000" w:sz="4"/>
              <w:right w:val="single" w:color="000000" w:sz="4"/>
            </w:tcBorders>
            <w:vAlign w:val="top"/>
          </w:tcPr>
          <w:p>
            <w:pPr>
              <w:jc w:val="center"/>
            </w:pPr>
          </w:p>
        </w:tc>
      </w:tr>
      <w:tr>
        <w:tc>
          <w:tcPr>
            <w:tcW w:type="dxa" w:w="7987"/>
            <w:gridSpan w:val="8"/>
            <w:tcBorders>
              <w:top w:val="none" w:color="000000" w:sz="4"/>
              <w:left w:val="single" w:color="000000" w:sz="4"/>
              <w:bottom w:val="single" w:color="000000" w:sz="4"/>
              <w:right w:val="single" w:color="000000" w:sz="4"/>
            </w:tcBorders>
            <w:vAlign w:val="top"/>
          </w:tcPr>
          <w:p>
            <w:pPr>
              <w:jc w:val="center"/>
            </w:pPr>
            <w:r>
              <w:rPr>
                <w:sz w:val="21"/>
              </w:rPr>
              <w:t>合计总额：￥</w:t>
            </w:r>
            <w:r>
              <w:rPr>
                <w:sz w:val="21"/>
                <w:u w:val="single"/>
              </w:rPr>
              <w:t xml:space="preserve">    0.00</w:t>
            </w:r>
            <w:r>
              <w:rPr>
                <w:sz w:val="21"/>
              </w:rPr>
              <w:t>元；大写：人民币</w:t>
            </w:r>
            <w:r>
              <w:rPr>
                <w:sz w:val="21"/>
                <w:u w:val="single"/>
              </w:rPr>
              <w:t xml:space="preserve">       </w:t>
            </w:r>
            <w:r>
              <w:rPr>
                <w:sz w:val="21"/>
              </w:rPr>
              <w:t>元整</w:t>
            </w:r>
          </w:p>
        </w:tc>
      </w:tr>
    </w:tbl>
    <w:p>
      <w:pPr>
        <w:jc w:val="both"/>
      </w:pPr>
      <w:r>
        <w:rPr>
          <w:sz w:val="21"/>
        </w:rPr>
        <w:t>（一）合同金额为广东省佛山市目的地包干价。</w:t>
      </w:r>
    </w:p>
    <w:p>
      <w:pPr>
        <w:jc w:val="both"/>
      </w:pPr>
      <w:r>
        <w:rPr>
          <w:sz w:val="21"/>
        </w:rPr>
        <w:t>（二）合同金额中必须包括</w:t>
      </w:r>
      <w:r>
        <w:rPr>
          <w:sz w:val="21"/>
        </w:rPr>
        <w:t>货物及零配件、软件系统、运输费、装卸费、保险费、安装费、调试费、材料费、技术服务费（含联络费、培训费、保修费、计量校准费用）、各项税费（如涉及进口产品的含各进口产品环节税费及到采购人指定目的地费用）</w:t>
      </w:r>
      <w:r>
        <w:rPr>
          <w:sz w:val="21"/>
        </w:rPr>
        <w:t>及合同实施过程中应预见和不可预见费等完成本采购内容所需的一切费用。</w:t>
      </w:r>
    </w:p>
    <w:p>
      <w:pPr>
        <w:jc w:val="both"/>
      </w:pPr>
      <w:r>
        <w:rPr>
          <w:sz w:val="21"/>
        </w:rPr>
        <w:t>（三）乙方在项目的实施过程中，甲方除了支付合同规定的款项外，一切合同规定外的费用将拒绝支付。</w:t>
      </w:r>
    </w:p>
    <w:p>
      <w:pPr>
        <w:jc w:val="both"/>
      </w:pPr>
      <w:r>
        <w:rPr>
          <w:sz w:val="21"/>
        </w:rPr>
        <w:t>注：货物名称内容必须与投标文件中货物名称内容一致。</w:t>
      </w:r>
    </w:p>
    <w:p>
      <w:pPr>
        <w:jc w:val="both"/>
      </w:pPr>
      <w:r>
        <w:rPr>
          <w:b/>
          <w:sz w:val="21"/>
        </w:rPr>
        <w:t>二、合同金额</w:t>
      </w:r>
    </w:p>
    <w:p>
      <w:pPr>
        <w:jc w:val="both"/>
      </w:pPr>
      <w:r>
        <w:rPr>
          <w:sz w:val="21"/>
        </w:rPr>
        <w:t>合同金额为（大写）：人民币</w:t>
      </w:r>
      <w:r>
        <w:rPr>
          <w:sz w:val="21"/>
        </w:rPr>
        <w:t xml:space="preserve">     </w:t>
      </w:r>
      <w:r>
        <w:rPr>
          <w:sz w:val="21"/>
        </w:rPr>
        <w:t>元整（￥</w:t>
      </w:r>
      <w:r>
        <w:rPr>
          <w:sz w:val="21"/>
        </w:rPr>
        <w:t xml:space="preserve">   .00</w:t>
      </w:r>
      <w:r>
        <w:rPr>
          <w:sz w:val="21"/>
        </w:rPr>
        <w:t>元）。</w:t>
      </w:r>
    </w:p>
    <w:p>
      <w:pPr>
        <w:jc w:val="both"/>
      </w:pPr>
      <w:r>
        <w:rPr>
          <w:b/>
          <w:sz w:val="21"/>
        </w:rPr>
        <w:t>三、交货期、交货方式及交货地点</w:t>
      </w:r>
    </w:p>
    <w:p>
      <w:pPr>
        <w:jc w:val="both"/>
      </w:pPr>
      <w:r>
        <w:rPr>
          <w:sz w:val="21"/>
        </w:rPr>
        <w:t>（一）交货期：</w:t>
      </w:r>
      <w:r>
        <w:rPr>
          <w:sz w:val="21"/>
        </w:rPr>
        <w:t>2023</w:t>
      </w:r>
      <w:r>
        <w:rPr>
          <w:sz w:val="21"/>
        </w:rPr>
        <w:t>年</w:t>
      </w:r>
      <w:r>
        <w:rPr>
          <w:sz w:val="21"/>
        </w:rPr>
        <w:t>10</w:t>
      </w:r>
      <w:r>
        <w:rPr>
          <w:sz w:val="21"/>
        </w:rPr>
        <w:t>月</w:t>
      </w:r>
      <w:r>
        <w:rPr>
          <w:sz w:val="21"/>
        </w:rPr>
        <w:t>15</w:t>
      </w:r>
      <w:r>
        <w:rPr>
          <w:sz w:val="21"/>
        </w:rPr>
        <w:t>日</w:t>
      </w:r>
      <w:r>
        <w:rPr>
          <w:sz w:val="21"/>
        </w:rPr>
        <w:t>前</w:t>
      </w:r>
      <w:r>
        <w:rPr>
          <w:sz w:val="21"/>
        </w:rPr>
        <w:t>完成安装调试并具备验收条件</w:t>
      </w:r>
      <w:r>
        <w:rPr>
          <w:sz w:val="21"/>
        </w:rPr>
        <w:t>，</w:t>
      </w:r>
      <w:r>
        <w:rPr>
          <w:sz w:val="21"/>
        </w:rPr>
        <w:t>如因进口产品过关入境手续造成延误，在甲方许可情况下可作相应调整</w:t>
      </w:r>
      <w:r>
        <w:rPr>
          <w:sz w:val="21"/>
        </w:rPr>
        <w:t>。</w:t>
      </w:r>
    </w:p>
    <w:p>
      <w:pPr>
        <w:jc w:val="both"/>
      </w:pPr>
      <w:r>
        <w:rPr>
          <w:sz w:val="21"/>
        </w:rPr>
        <w:t>（二）交货方式：详见</w:t>
      </w:r>
      <w:r>
        <w:rPr>
          <w:sz w:val="21"/>
          <w:u w:val="single"/>
        </w:rPr>
        <w:t>商务条款；包装、保险及发运、保管要求</w:t>
      </w:r>
      <w:r>
        <w:rPr>
          <w:sz w:val="21"/>
        </w:rPr>
        <w:t>。</w:t>
      </w:r>
    </w:p>
    <w:p>
      <w:pPr>
        <w:jc w:val="both"/>
      </w:pPr>
      <w:r>
        <w:rPr>
          <w:sz w:val="21"/>
        </w:rPr>
        <w:t>（三）交货地点：</w:t>
      </w:r>
      <w:r>
        <w:rPr>
          <w:sz w:val="21"/>
        </w:rPr>
        <w:t>广东省佛山市质量技术监督标准与编码所</w:t>
      </w:r>
      <w:r>
        <w:rPr>
          <w:sz w:val="21"/>
        </w:rPr>
        <w:t>。</w:t>
      </w:r>
    </w:p>
    <w:p>
      <w:pPr>
        <w:jc w:val="both"/>
      </w:pPr>
      <w:r>
        <w:rPr>
          <w:b/>
          <w:sz w:val="21"/>
        </w:rPr>
        <w:t>四、</w:t>
      </w:r>
      <w:r>
        <w:rPr>
          <w:b/>
          <w:sz w:val="21"/>
        </w:rPr>
        <w:t>备品备件要求</w:t>
      </w:r>
    </w:p>
    <w:p>
      <w:pPr>
        <w:ind w:firstLine="420"/>
        <w:jc w:val="both"/>
      </w:pPr>
      <w:r>
        <w:rPr>
          <w:sz w:val="21"/>
        </w:rPr>
        <w:t>乙方应对本项目的备品备件做好充足准备，并保证以成本价提供备品备件和维修服务。当发生故障时，乙方应按质量保证期内同样的要求进行维修处理。</w:t>
      </w:r>
    </w:p>
    <w:p>
      <w:pPr>
        <w:jc w:val="both"/>
      </w:pPr>
      <w:r>
        <w:rPr>
          <w:b/>
          <w:sz w:val="21"/>
        </w:rPr>
        <w:t>五、</w:t>
      </w:r>
      <w:r>
        <w:rPr>
          <w:b/>
          <w:sz w:val="21"/>
        </w:rPr>
        <w:t>商务条款</w:t>
      </w:r>
    </w:p>
    <w:p>
      <w:pPr>
        <w:ind w:firstLine="420"/>
        <w:jc w:val="both"/>
      </w:pPr>
      <w:r>
        <w:rPr>
          <w:sz w:val="21"/>
        </w:rPr>
        <w:t>乙方在项目过程中（如货物安装、电路接线等）必须采取足够的安全措施，确保施工的安全，并自行负责相关安全责任。施工完毕后需清理好现场</w:t>
      </w:r>
      <w:r>
        <w:rPr>
          <w:sz w:val="21"/>
        </w:rPr>
        <w:t>,</w:t>
      </w:r>
      <w:r>
        <w:rPr>
          <w:sz w:val="21"/>
        </w:rPr>
        <w:t>将所有产生的垃圾带走。</w:t>
      </w:r>
    </w:p>
    <w:p>
      <w:pPr>
        <w:jc w:val="both"/>
      </w:pPr>
      <w:r>
        <w:rPr>
          <w:b/>
          <w:sz w:val="21"/>
        </w:rPr>
        <w:t>六</w:t>
      </w:r>
      <w:r>
        <w:rPr>
          <w:b/>
          <w:sz w:val="21"/>
        </w:rPr>
        <w:t>、包装、保险及发运、保管要求</w:t>
      </w:r>
    </w:p>
    <w:p>
      <w:pPr>
        <w:jc w:val="both"/>
      </w:pPr>
      <w:r>
        <w:rPr>
          <w:sz w:val="21"/>
        </w:rPr>
        <w:t>（一）设备材料的包装必须是制造商原厂包装，其包装均应有良好的防湿、防锈、防潮、防雨、防腐及防碰撞的措施。凡由于包装不良造成的损失和由此产生的费用均由乙方承担。</w:t>
      </w:r>
    </w:p>
    <w:p>
      <w:pPr>
        <w:jc w:val="both"/>
      </w:pPr>
      <w:r>
        <w:rPr>
          <w:sz w:val="21"/>
        </w:rPr>
        <w:t>（二）乙方负责将设备材料货到现场过程中的全部运输，包括装卸车、货物现场的搬运。</w:t>
      </w:r>
    </w:p>
    <w:p>
      <w:pPr>
        <w:jc w:val="both"/>
      </w:pPr>
      <w:r>
        <w:rPr>
          <w:sz w:val="21"/>
        </w:rPr>
        <w:t>（三）各种设备必须提供装箱清单，按装箱清单验收货物。</w:t>
      </w:r>
    </w:p>
    <w:p>
      <w:pPr>
        <w:jc w:val="both"/>
      </w:pPr>
      <w:r>
        <w:rPr>
          <w:sz w:val="21"/>
        </w:rPr>
        <w:t>（四）货物在现场的保管由乙方负责，直至项目安装、验收完毕。</w:t>
      </w:r>
    </w:p>
    <w:p>
      <w:pPr>
        <w:jc w:val="both"/>
      </w:pPr>
      <w:r>
        <w:rPr>
          <w:sz w:val="21"/>
        </w:rPr>
        <w:t>（五）货物在系统安装调试验收合格前的保险由乙方负责，乙方负责其派出的现场服务人员人身意外责任，并应为服务人员购买相关保险。</w:t>
      </w:r>
    </w:p>
    <w:p>
      <w:pPr>
        <w:jc w:val="both"/>
      </w:pPr>
      <w:r>
        <w:rPr>
          <w:sz w:val="21"/>
        </w:rPr>
        <w:t>（六）设备至甲方指定的使用现场的包装、保险及发运等环节和费用均由乙方负责。</w:t>
      </w:r>
    </w:p>
    <w:p>
      <w:pPr>
        <w:jc w:val="both"/>
      </w:pPr>
      <w:r>
        <w:rPr>
          <w:b/>
          <w:sz w:val="21"/>
        </w:rPr>
        <w:t>七、培训</w:t>
      </w:r>
    </w:p>
    <w:p>
      <w:pPr>
        <w:jc w:val="both"/>
      </w:pPr>
      <w:r>
        <w:rPr>
          <w:sz w:val="21"/>
        </w:rPr>
        <w:t>（一）乙方须根据甲方的要求安排熟悉本项目的专业技术人员在甲方指定的地点（</w:t>
      </w:r>
      <w:r>
        <w:rPr>
          <w:sz w:val="21"/>
        </w:rPr>
        <w:t>佛山市禅城区人民路</w:t>
      </w:r>
      <w:r>
        <w:rPr>
          <w:sz w:val="21"/>
        </w:rPr>
        <w:t>76</w:t>
      </w:r>
      <w:r>
        <w:rPr>
          <w:sz w:val="21"/>
        </w:rPr>
        <w:t>号</w:t>
      </w:r>
      <w:r>
        <w:rPr>
          <w:sz w:val="21"/>
        </w:rPr>
        <w:t>）向甲方提供完备、全面的产品使用培训，培训内容包括设备的参数的设置、操作、维护保养、应急处理、简单故障排除等，确保甲方能够对设备、系统有足够的了解，能够独立进行日常操作、管理和维护。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sz w:val="21"/>
        </w:rPr>
        <w:t>（二）乙方必须为所有被培训人员提供培训使用的文字资料和讲义等相关用品。</w:t>
      </w:r>
    </w:p>
    <w:p>
      <w:pPr>
        <w:jc w:val="both"/>
      </w:pPr>
      <w:r>
        <w:rPr>
          <w:sz w:val="21"/>
        </w:rPr>
        <w:t>（三）所有的培训费用包括差旅、食宿、教材、资料等由乙方负责，均包含在合同金额中。</w:t>
      </w:r>
    </w:p>
    <w:p>
      <w:pPr>
        <w:jc w:val="both"/>
      </w:pPr>
      <w:r>
        <w:rPr>
          <w:b/>
          <w:sz w:val="21"/>
        </w:rPr>
        <w:t>八</w:t>
      </w:r>
      <w:r>
        <w:rPr>
          <w:b/>
          <w:sz w:val="21"/>
        </w:rPr>
        <w:t>、质保期及售后服务要求</w:t>
      </w:r>
    </w:p>
    <w:p>
      <w:pPr>
        <w:jc w:val="both"/>
      </w:pPr>
      <w:r>
        <w:rPr>
          <w:sz w:val="21"/>
        </w:rPr>
        <w:t>（一）质量保证期（简称</w:t>
      </w:r>
      <w:r>
        <w:rPr>
          <w:sz w:val="21"/>
        </w:rPr>
        <w:t>“</w:t>
      </w:r>
      <w:r>
        <w:rPr>
          <w:sz w:val="21"/>
        </w:rPr>
        <w:t>质保期</w:t>
      </w:r>
      <w:r>
        <w:rPr>
          <w:sz w:val="21"/>
        </w:rPr>
        <w:t>”</w:t>
      </w:r>
      <w:r>
        <w:rPr>
          <w:sz w:val="21"/>
        </w:rPr>
        <w:t>）为所有设备自交付验收合格之</w:t>
      </w:r>
      <w:r>
        <w:rPr>
          <w:sz w:val="21"/>
        </w:rPr>
        <w:t>日起计，质保期</w:t>
      </w:r>
      <w:r>
        <w:rPr>
          <w:sz w:val="21"/>
          <w:u w:val="single"/>
        </w:rPr>
        <w:t xml:space="preserve">  </w:t>
      </w:r>
      <w:r>
        <w:rPr>
          <w:sz w:val="21"/>
        </w:rPr>
        <w:t>年</w:t>
      </w:r>
      <w:r>
        <w:rPr>
          <w:sz w:val="21"/>
        </w:rPr>
        <w:t>，</w:t>
      </w:r>
      <w:r>
        <w:rPr>
          <w:sz w:val="21"/>
        </w:rPr>
        <w:t>质保期内乙方对所供货物实行包修、包换、包退、包维护保养，期满后可同时提供终身维修保养服务。</w:t>
      </w:r>
    </w:p>
    <w:p>
      <w:pPr>
        <w:jc w:val="both"/>
      </w:pPr>
      <w:r>
        <w:rPr>
          <w:sz w:val="21"/>
        </w:rPr>
        <w:t>（二）质保期内发生的质量问题，由乙方负责免费解决（因甲方使用不当或其他人为因素造成的故障除外）。如货物因自身故障致停用时间累计超过</w:t>
      </w:r>
      <w:r>
        <w:rPr>
          <w:sz w:val="21"/>
        </w:rPr>
        <w:t>20</w:t>
      </w:r>
      <w:r>
        <w:rPr>
          <w:sz w:val="21"/>
        </w:rPr>
        <w:t>天时，则质保期在状态恢复正常时重新计算或对故障设备予以重新更换。</w:t>
      </w:r>
    </w:p>
    <w:p>
      <w:pPr>
        <w:jc w:val="both"/>
      </w:pPr>
      <w:r>
        <w:rPr>
          <w:sz w:val="21"/>
        </w:rPr>
        <w:t>（三）任何时候，乙方均不能免除因货物本身的缺陷所应负的责任。</w:t>
      </w:r>
    </w:p>
    <w:p>
      <w:pPr>
        <w:jc w:val="both"/>
      </w:pPr>
      <w:r>
        <w:rPr>
          <w:sz w:val="21"/>
        </w:rPr>
        <w:t>（四）质保期内乙方提供上门免费服务，在质保期内设置每周</w:t>
      </w:r>
      <w:r>
        <w:rPr>
          <w:sz w:val="21"/>
        </w:rPr>
        <w:t>7</w:t>
      </w:r>
      <w:r>
        <w:rPr>
          <w:sz w:val="21"/>
        </w:rPr>
        <w:t>天</w:t>
      </w:r>
      <w:r>
        <w:rPr>
          <w:sz w:val="21"/>
        </w:rPr>
        <w:t>×24</w:t>
      </w:r>
      <w:r>
        <w:rPr>
          <w:sz w:val="21"/>
        </w:rPr>
        <w:t>小时服务专线和长期的免费技术支持，对甲方的服务通知，乙方必须在接报后</w:t>
      </w:r>
      <w:r>
        <w:rPr>
          <w:sz w:val="21"/>
        </w:rPr>
        <w:t>1</w:t>
      </w:r>
      <w:r>
        <w:rPr>
          <w:sz w:val="21"/>
        </w:rPr>
        <w:t>小时内响应，</w:t>
      </w:r>
      <w:r>
        <w:rPr>
          <w:sz w:val="21"/>
        </w:rPr>
        <w:t>72</w:t>
      </w:r>
      <w:r>
        <w:rPr>
          <w:sz w:val="21"/>
        </w:rPr>
        <w:t>小时内到达现场，</w:t>
      </w:r>
      <w:r>
        <w:rPr>
          <w:sz w:val="21"/>
        </w:rPr>
        <w:t>6</w:t>
      </w:r>
      <w:r>
        <w:rPr>
          <w:sz w:val="21"/>
        </w:rPr>
        <w:t>天内处理完毕。若故障规定时间内未能处理完毕的，乙方必须免费提供同等的设备予甲方临时使用或采取应急措施解决，不得影响甲方的正常工作业务。</w:t>
      </w:r>
    </w:p>
    <w:p>
      <w:pPr>
        <w:jc w:val="both"/>
      </w:pPr>
      <w:r>
        <w:rPr>
          <w:b/>
          <w:sz w:val="21"/>
        </w:rPr>
        <w:t>九</w:t>
      </w:r>
      <w:r>
        <w:rPr>
          <w:b/>
          <w:sz w:val="21"/>
        </w:rPr>
        <w:t>、安装、调试与验收</w:t>
      </w:r>
    </w:p>
    <w:p>
      <w:pPr>
        <w:jc w:val="both"/>
      </w:pPr>
      <w:r>
        <w:rPr>
          <w:sz w:val="21"/>
        </w:rPr>
        <w:t>（一）货物为原制造商制造的全新产品，无污染，无侵权行为、表面无划损、无任何缺陷隐患，在中国境内可依规安全合法使用。进口产品必须具备原产地证明或海关的相关证明或合法进货渠道证明。采购人有权要求中标人提供进口货物的报关单（如适用）。</w:t>
      </w:r>
    </w:p>
    <w:p>
      <w:pPr>
        <w:jc w:val="both"/>
      </w:pPr>
      <w:r>
        <w:rPr>
          <w:sz w:val="21"/>
        </w:rPr>
        <w:t>（二）依次序对照适用标准为：</w:t>
      </w:r>
      <w:r>
        <w:rPr>
          <w:sz w:val="21"/>
        </w:rPr>
        <w:t>①</w:t>
      </w:r>
      <w:r>
        <w:rPr>
          <w:sz w:val="21"/>
        </w:rPr>
        <w:t>符合中华人民共和国国家安全质量标准、环保标准或行业标准；</w:t>
      </w:r>
      <w:r>
        <w:rPr>
          <w:sz w:val="21"/>
        </w:rPr>
        <w:t>②</w:t>
      </w:r>
      <w:r>
        <w:rPr>
          <w:sz w:val="21"/>
        </w:rPr>
        <w:t>符合采购文件和响应承诺中甲方认可的合理最佳配置、参数及各项要求；</w:t>
      </w:r>
      <w:r>
        <w:rPr>
          <w:sz w:val="21"/>
        </w:rPr>
        <w:t>③</w:t>
      </w:r>
      <w:r>
        <w:rPr>
          <w:sz w:val="21"/>
        </w:rPr>
        <w:t>货物来源国官方标准。上述标准必须是有关官方机构发布的最新版本的标准。</w:t>
      </w:r>
    </w:p>
    <w:p>
      <w:pPr>
        <w:jc w:val="both"/>
      </w:pPr>
      <w:r>
        <w:rPr>
          <w:sz w:val="21"/>
        </w:rPr>
        <w:t>（三）安装调试：</w:t>
      </w:r>
    </w:p>
    <w:p>
      <w:pPr>
        <w:jc w:val="both"/>
      </w:pPr>
      <w:r>
        <w:rPr>
          <w:sz w:val="21"/>
        </w:rPr>
        <w:t>1.</w:t>
      </w:r>
      <w:r>
        <w:rPr>
          <w:sz w:val="21"/>
        </w:rPr>
        <w:t>乙方负责到甲方指定的安装地点进行安装调试。</w:t>
      </w:r>
    </w:p>
    <w:p>
      <w:pPr>
        <w:jc w:val="both"/>
      </w:pPr>
      <w:r>
        <w:rPr>
          <w:sz w:val="21"/>
        </w:rPr>
        <w:t>2.</w:t>
      </w:r>
      <w:r>
        <w:rPr>
          <w:sz w:val="21"/>
        </w:rPr>
        <w:t>乙方必须提供设备安装、集成及调测服务，并确保调试完成后，设备能够正常运行，达到甲方可正常使用状态。</w:t>
      </w:r>
    </w:p>
    <w:p>
      <w:pPr>
        <w:jc w:val="both"/>
      </w:pPr>
      <w:r>
        <w:rPr>
          <w:sz w:val="21"/>
        </w:rPr>
        <w:t>3.</w:t>
      </w:r>
      <w:r>
        <w:rPr>
          <w:sz w:val="21"/>
        </w:rPr>
        <w:t>安装所需工具设施物料由乙方自备、自费运到现场，完工后自费搬走。</w:t>
      </w:r>
    </w:p>
    <w:p>
      <w:pPr>
        <w:jc w:val="both"/>
      </w:pPr>
      <w:r>
        <w:rPr>
          <w:sz w:val="21"/>
        </w:rPr>
        <w:t>4.</w:t>
      </w:r>
      <w:r>
        <w:rPr>
          <w:sz w:val="21"/>
        </w:rPr>
        <w:t>设备、材料的拆箱、安装、通电、调试等工作由乙方负责，但若甲方有特定要求需要参与的，则须在甲方指定人员的参与下进行。</w:t>
      </w:r>
    </w:p>
    <w:p>
      <w:pPr>
        <w:jc w:val="both"/>
      </w:pPr>
      <w:r>
        <w:rPr>
          <w:sz w:val="21"/>
        </w:rPr>
        <w:t>5.</w:t>
      </w:r>
      <w:r>
        <w:rPr>
          <w:sz w:val="21"/>
        </w:rPr>
        <w:t>调试：按国家相关验收规范进行。调试的原始记录须经双方签字后作为验收的文件之一。</w:t>
      </w:r>
    </w:p>
    <w:p>
      <w:pPr>
        <w:jc w:val="both"/>
      </w:pPr>
      <w:r>
        <w:rPr>
          <w:sz w:val="21"/>
        </w:rPr>
        <w:t>6.</w:t>
      </w:r>
      <w:r>
        <w:rPr>
          <w:sz w:val="21"/>
        </w:rPr>
        <w:t>乙方必须充分考虑现场的安装难度及安全性，做好施工现场的安全防护、文明施工工作。安装过程中发生的一切责任及费用由乙方负责，如对其他物品或结构造成损坏必须照价赔偿，若甲方因此垫付费用或承担赔偿责任的，有权向乙方进行追偿并直接从合同款项中予以扣减。</w:t>
      </w:r>
    </w:p>
    <w:p>
      <w:pPr>
        <w:jc w:val="both"/>
      </w:pPr>
      <w:r>
        <w:rPr>
          <w:sz w:val="21"/>
        </w:rPr>
        <w:t>（四）验收由乙方、甲方依国家有关标准、计量校准、合同及有关附件要求进行。乙方须为验收提供必需的相关条件及一切费用。</w:t>
      </w:r>
    </w:p>
    <w:p>
      <w:pPr>
        <w:jc w:val="both"/>
      </w:pPr>
      <w:r>
        <w:rPr>
          <w:sz w:val="21"/>
        </w:rPr>
        <w:t>（五）技术资料：</w:t>
      </w:r>
    </w:p>
    <w:p>
      <w:pPr>
        <w:jc w:val="both"/>
      </w:pPr>
      <w:r>
        <w:rPr>
          <w:sz w:val="21"/>
        </w:rPr>
        <w:t>1.</w:t>
      </w:r>
      <w:r>
        <w:rPr>
          <w:sz w:val="21"/>
        </w:rPr>
        <w:t>验收后，乙方应向甲方提供验收报告。验收完毕由甲方及乙方在验收报告上签名确认。</w:t>
      </w:r>
    </w:p>
    <w:p>
      <w:pPr>
        <w:jc w:val="both"/>
      </w:pPr>
      <w:r>
        <w:rPr>
          <w:b/>
          <w:sz w:val="21"/>
        </w:rPr>
        <w:t>十</w:t>
      </w:r>
      <w:r>
        <w:rPr>
          <w:b/>
          <w:sz w:val="21"/>
        </w:rPr>
        <w:t>、付款方式</w:t>
      </w:r>
    </w:p>
    <w:p>
      <w:pPr>
        <w:jc w:val="both"/>
      </w:pPr>
      <w:r>
        <w:rPr>
          <w:sz w:val="21"/>
        </w:rPr>
        <w:t>由甲方按下列方式付款：</w:t>
      </w:r>
    </w:p>
    <w:p>
      <w:pPr>
        <w:jc w:val="both"/>
      </w:pPr>
      <w:r>
        <w:rPr>
          <w:sz w:val="21"/>
        </w:rPr>
        <w:t>1</w:t>
      </w:r>
      <w:r>
        <w:rPr>
          <w:sz w:val="21"/>
        </w:rPr>
        <w:t>、合同签订生效之日起</w:t>
      </w:r>
      <w:r>
        <w:rPr>
          <w:sz w:val="21"/>
        </w:rPr>
        <w:t>5</w:t>
      </w:r>
      <w:r>
        <w:rPr>
          <w:sz w:val="21"/>
        </w:rPr>
        <w:t>个工作日内，甲方向乙方支付合同总价的</w:t>
      </w:r>
      <w:r>
        <w:rPr>
          <w:sz w:val="21"/>
          <w:u w:val="single"/>
        </w:rPr>
        <w:t xml:space="preserve"> </w:t>
      </w:r>
      <w:r>
        <w:rPr>
          <w:sz w:val="21"/>
          <w:u w:val="single"/>
        </w:rPr>
        <w:t>50</w:t>
      </w:r>
      <w:r>
        <w:rPr>
          <w:sz w:val="21"/>
          <w:u w:val="single"/>
        </w:rPr>
        <w:t xml:space="preserve"> </w:t>
      </w:r>
      <w:r>
        <w:rPr>
          <w:sz w:val="21"/>
        </w:rPr>
        <w:t>%</w:t>
      </w:r>
      <w:r>
        <w:rPr>
          <w:sz w:val="21"/>
        </w:rPr>
        <w:t>。</w:t>
      </w:r>
    </w:p>
    <w:p>
      <w:pPr>
        <w:jc w:val="both"/>
      </w:pPr>
      <w:r>
        <w:rPr>
          <w:sz w:val="21"/>
        </w:rPr>
        <w:t>2</w:t>
      </w:r>
      <w:r>
        <w:rPr>
          <w:sz w:val="21"/>
        </w:rPr>
        <w:t>、所有设备安装调试完毕并由甲方总体验收合格之日起</w:t>
      </w:r>
      <w:r>
        <w:rPr>
          <w:sz w:val="21"/>
        </w:rPr>
        <w:t>15</w:t>
      </w:r>
      <w:r>
        <w:rPr>
          <w:sz w:val="21"/>
        </w:rPr>
        <w:t>日内，甲方向乙方支付合同总价的</w:t>
      </w:r>
      <w:r>
        <w:rPr>
          <w:sz w:val="21"/>
          <w:u w:val="single"/>
        </w:rPr>
        <w:t xml:space="preserve"> </w:t>
      </w:r>
      <w:r>
        <w:rPr>
          <w:sz w:val="21"/>
          <w:u w:val="single"/>
        </w:rPr>
        <w:t>50</w:t>
      </w:r>
      <w:r>
        <w:rPr>
          <w:sz w:val="21"/>
        </w:rPr>
        <w:t>%</w:t>
      </w:r>
      <w:r>
        <w:rPr>
          <w:sz w:val="21"/>
        </w:rPr>
        <w:t>。</w:t>
      </w:r>
    </w:p>
    <w:p>
      <w:pPr>
        <w:jc w:val="both"/>
      </w:pPr>
      <w:r>
        <w:rPr>
          <w:sz w:val="21"/>
        </w:rPr>
        <w:t>3</w:t>
      </w:r>
      <w:r>
        <w:rPr>
          <w:sz w:val="21"/>
        </w:rPr>
        <w:t>、每期付款由乙方提出申请，</w:t>
      </w:r>
      <w:r>
        <w:rPr>
          <w:sz w:val="21"/>
        </w:rPr>
        <w:t>向甲方提供以下资料，</w:t>
      </w:r>
      <w:r>
        <w:rPr>
          <w:sz w:val="21"/>
        </w:rPr>
        <w:t>否则</w:t>
      </w:r>
      <w:r>
        <w:rPr>
          <w:sz w:val="21"/>
        </w:rPr>
        <w:t>甲方</w:t>
      </w:r>
      <w:r>
        <w:rPr>
          <w:sz w:val="21"/>
        </w:rPr>
        <w:t>有权顺延付款，</w:t>
      </w:r>
      <w:r>
        <w:rPr>
          <w:sz w:val="21"/>
        </w:rPr>
        <w:t>乙方</w:t>
      </w:r>
      <w:r>
        <w:rPr>
          <w:sz w:val="21"/>
        </w:rPr>
        <w:t>不得以此为由暂停实施本项目或要求顺延货物交付时间</w:t>
      </w:r>
      <w:r>
        <w:rPr>
          <w:sz w:val="21"/>
        </w:rPr>
        <w:t>：</w:t>
      </w:r>
    </w:p>
    <w:p>
      <w:r>
        <w:rPr>
          <w:sz w:val="21"/>
        </w:rPr>
        <w:t>(1)</w:t>
      </w:r>
      <w:r>
        <w:rPr>
          <w:sz w:val="21"/>
        </w:rPr>
        <w:t>发票，收款方、出具发票方、合同中标人均必须与乙方名称一致。</w:t>
      </w:r>
    </w:p>
    <w:p>
      <w:r>
        <w:rPr>
          <w:sz w:val="21"/>
        </w:rPr>
        <w:t>(2)</w:t>
      </w:r>
      <w:r>
        <w:rPr>
          <w:sz w:val="21"/>
        </w:rPr>
        <w:t>验收报告（加盖甲方公章，最后一期款项支付时提供）。</w:t>
      </w:r>
    </w:p>
    <w:p>
      <w:r>
        <w:rPr>
          <w:sz w:val="21"/>
        </w:rPr>
        <w:t>(3)</w:t>
      </w:r>
      <w:r>
        <w:rPr>
          <w:sz w:val="21"/>
        </w:rPr>
        <w:t>中标通知书。</w:t>
      </w:r>
    </w:p>
    <w:p>
      <w:r>
        <w:rPr>
          <w:sz w:val="21"/>
        </w:rPr>
        <w:t>4</w:t>
      </w:r>
      <w:r>
        <w:rPr>
          <w:sz w:val="21"/>
        </w:rPr>
        <w:t>、货款以转账方式转入乙方的银行账户。</w:t>
      </w:r>
    </w:p>
    <w:p>
      <w:pPr>
        <w:jc w:val="both"/>
      </w:pPr>
      <w:r>
        <w:rPr>
          <w:b/>
          <w:color w:val="000000"/>
          <w:sz w:val="21"/>
        </w:rPr>
        <w:t>十</w:t>
      </w:r>
      <w:r>
        <w:rPr>
          <w:b/>
          <w:color w:val="000000"/>
          <w:sz w:val="21"/>
        </w:rPr>
        <w:t>一</w:t>
      </w:r>
      <w:r>
        <w:rPr>
          <w:b/>
          <w:color w:val="000000"/>
          <w:sz w:val="21"/>
        </w:rPr>
        <w:t>、知识产权和保密要求</w:t>
      </w:r>
    </w:p>
    <w:p>
      <w:pPr>
        <w:jc w:val="both"/>
      </w:pPr>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w:t>
      </w:r>
      <w:r>
        <w:rPr>
          <w:sz w:val="21"/>
        </w:rPr>
        <w:t>）除了合同本身之外，上款所列举的任何物件均是甲方的财产。如果甲方有要求，乙方在完成合同后应将这些物件及全部复制件还给甲方。</w:t>
      </w:r>
    </w:p>
    <w:p>
      <w:pPr>
        <w:jc w:val="both"/>
      </w:pPr>
      <w:r>
        <w:rPr>
          <w:b/>
          <w:sz w:val="21"/>
        </w:rPr>
        <w:t>十</w:t>
      </w:r>
      <w:r>
        <w:rPr>
          <w:b/>
          <w:sz w:val="21"/>
        </w:rPr>
        <w:t>二</w:t>
      </w:r>
      <w:r>
        <w:rPr>
          <w:b/>
          <w:sz w:val="21"/>
        </w:rPr>
        <w:t>、违约责任与赔偿损失</w:t>
      </w:r>
    </w:p>
    <w:p>
      <w:pPr>
        <w:jc w:val="both"/>
      </w:pPr>
      <w:r>
        <w:rPr>
          <w:sz w:val="21"/>
        </w:rPr>
        <w:t>（一）乙方交付的货物不符合招标文件、投标文件或本合同规定的，甲方有权拒收，并且乙方须向甲方退还预付款，且赔付中标金额的百分之三十的违约金。</w:t>
      </w:r>
    </w:p>
    <w:p>
      <w:pPr>
        <w:jc w:val="both"/>
      </w:pPr>
      <w:r>
        <w:rPr>
          <w:sz w:val="21"/>
        </w:rPr>
        <w:t>（二）乙方未能按本合同规定的交货时间交付货物的，从逾期之日起每日按本合同总价千分之五的数额向甲方支付违约金；逾期</w:t>
      </w:r>
      <w:r>
        <w:rPr>
          <w:sz w:val="21"/>
        </w:rPr>
        <w:t>15</w:t>
      </w:r>
      <w:r>
        <w:rPr>
          <w:sz w:val="21"/>
        </w:rPr>
        <w:t>天以上（含</w:t>
      </w:r>
      <w:r>
        <w:rPr>
          <w:sz w:val="21"/>
        </w:rPr>
        <w:t>15</w:t>
      </w:r>
      <w:r>
        <w:rPr>
          <w:sz w:val="21"/>
        </w:rPr>
        <w:t>天）的，甲方有权终止合同，要求乙方支付违约金，并且给甲方造成的经济损失由乙方承担赔偿责任。</w:t>
      </w:r>
    </w:p>
    <w:p>
      <w:pPr>
        <w:jc w:val="both"/>
      </w:pPr>
      <w:r>
        <w:rPr>
          <w:sz w:val="21"/>
        </w:rPr>
        <w:t>（三）甲方无正当理由拒收货物，到期拒付货物款项的，甲方向乙方偿付本合同总价的百分之五的违约金。甲方逾期付款</w:t>
      </w:r>
      <w:r>
        <w:rPr>
          <w:sz w:val="21"/>
        </w:rPr>
        <w:t>,</w:t>
      </w:r>
      <w:r>
        <w:rPr>
          <w:sz w:val="21"/>
        </w:rPr>
        <w:t>则每日按合同总金额千分之五向乙方偿付违约金。但由于财政拨款不到位或该项目相关手续和程序因流转政府采购审批流程及办理手续而造成项目支付进度有所推延的而导致甲方逾期付款的，甲方不承担违约责任，并且此情况不能成为乙方延期交货及服务的理由。</w:t>
      </w:r>
    </w:p>
    <w:p>
      <w:pPr>
        <w:jc w:val="both"/>
      </w:pPr>
      <w:r>
        <w:rPr>
          <w:sz w:val="21"/>
        </w:rPr>
        <w:t>（四）其它违约责任按《中华人民共和国民法典</w:t>
      </w:r>
      <w:r>
        <w:rPr>
          <w:sz w:val="21"/>
        </w:rPr>
        <w:t>(</w:t>
      </w:r>
      <w:r>
        <w:rPr>
          <w:sz w:val="21"/>
        </w:rPr>
        <w:t>合同编</w:t>
      </w:r>
      <w:r>
        <w:rPr>
          <w:sz w:val="21"/>
        </w:rPr>
        <w:t>)</w:t>
      </w:r>
      <w:r>
        <w:rPr>
          <w:sz w:val="21"/>
        </w:rPr>
        <w:t>》处理。</w:t>
      </w:r>
    </w:p>
    <w:p>
      <w:pPr>
        <w:jc w:val="both"/>
      </w:pPr>
      <w:r>
        <w:rPr>
          <w:b/>
          <w:sz w:val="21"/>
        </w:rPr>
        <w:t>十</w:t>
      </w:r>
      <w:r>
        <w:rPr>
          <w:b/>
          <w:sz w:val="21"/>
        </w:rPr>
        <w:t>三</w:t>
      </w:r>
      <w:r>
        <w:rPr>
          <w:b/>
          <w:sz w:val="21"/>
        </w:rPr>
        <w:t>、争议的解决</w:t>
      </w:r>
    </w:p>
    <w:p>
      <w:pPr>
        <w:ind w:firstLine="539"/>
        <w:jc w:val="both"/>
      </w:pPr>
      <w:r>
        <w:rPr>
          <w:sz w:val="21"/>
        </w:rPr>
        <w:t>合同执行过程中发生的任何争议，如双方不能通过友好协商解决，按相关法律法规处理。甲、乙双方一致同意向甲方所在地人民法院提起诉讼。</w:t>
      </w:r>
    </w:p>
    <w:p>
      <w:pPr>
        <w:jc w:val="both"/>
      </w:pPr>
      <w:r>
        <w:rPr>
          <w:b/>
          <w:sz w:val="21"/>
        </w:rPr>
        <w:t>十</w:t>
      </w:r>
      <w:r>
        <w:rPr>
          <w:b/>
          <w:sz w:val="21"/>
        </w:rPr>
        <w:t>四</w:t>
      </w:r>
      <w:r>
        <w:rPr>
          <w:b/>
          <w:sz w:val="21"/>
        </w:rPr>
        <w:t>、不可抗力</w:t>
      </w:r>
    </w:p>
    <w:p>
      <w:pPr>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w:t>
      </w:r>
      <w:r>
        <w:rPr>
          <w:b/>
          <w:sz w:val="21"/>
        </w:rPr>
        <w:t>五</w:t>
      </w:r>
      <w:r>
        <w:rPr>
          <w:b/>
          <w:sz w:val="21"/>
        </w:rPr>
        <w:t>、税费</w:t>
      </w:r>
    </w:p>
    <w:p>
      <w:pPr>
        <w:ind w:firstLine="420"/>
        <w:jc w:val="both"/>
      </w:pPr>
      <w:r>
        <w:rPr>
          <w:sz w:val="21"/>
        </w:rPr>
        <w:t>在中国境内、外发生的与本合同执行有关的一切税费均由乙方负担。</w:t>
      </w:r>
    </w:p>
    <w:p>
      <w:pPr>
        <w:jc w:val="both"/>
      </w:pPr>
      <w:r>
        <w:rPr>
          <w:b/>
          <w:sz w:val="21"/>
        </w:rPr>
        <w:t>十</w:t>
      </w:r>
      <w:r>
        <w:rPr>
          <w:b/>
          <w:sz w:val="21"/>
        </w:rPr>
        <w:t>六</w:t>
      </w:r>
      <w:r>
        <w:rPr>
          <w:b/>
          <w:sz w:val="21"/>
        </w:rPr>
        <w:t>、其它</w:t>
      </w:r>
    </w:p>
    <w:p>
      <w:pPr>
        <w:jc w:val="both"/>
      </w:pPr>
      <w:r>
        <w:rPr>
          <w:sz w:val="21"/>
        </w:rPr>
        <w:t>（一）本合同所有附件、招标文件、投标文件、中标通知书均为合同的有效组成部分，与本合同具有同等法律效力。</w:t>
      </w:r>
    </w:p>
    <w:p>
      <w:pPr>
        <w:jc w:val="both"/>
      </w:pPr>
      <w:r>
        <w:rPr>
          <w:sz w:val="21"/>
        </w:rPr>
        <w:t>（二）在执行本合同的过程中，所有经双方签署确认的文件（包括会议纪要、补充协议、往来信函）即成为本合同的有效组成部分。</w:t>
      </w:r>
    </w:p>
    <w:p>
      <w:pPr>
        <w:jc w:val="both"/>
      </w:pPr>
      <w:r>
        <w:rPr>
          <w:sz w:val="21"/>
        </w:rPr>
        <w:t>（三）如一方地址、电话、传真号码有变更，应在变更当日内书面通知对方，否则，应承担相应责任。</w:t>
      </w:r>
    </w:p>
    <w:p>
      <w:pPr>
        <w:jc w:val="both"/>
      </w:pPr>
      <w:r>
        <w:rPr>
          <w:sz w:val="21"/>
        </w:rPr>
        <w:t>（四）除甲方事先书面同意外，乙方不得部分或全部转让其应履行的合同项下的义务。</w:t>
      </w:r>
    </w:p>
    <w:p>
      <w:pPr>
        <w:jc w:val="both"/>
      </w:pPr>
      <w:r>
        <w:rPr>
          <w:b/>
          <w:sz w:val="21"/>
        </w:rPr>
        <w:t>十</w:t>
      </w:r>
      <w:r>
        <w:rPr>
          <w:b/>
          <w:sz w:val="21"/>
        </w:rPr>
        <w:t>七</w:t>
      </w:r>
      <w:r>
        <w:rPr>
          <w:b/>
          <w:sz w:val="21"/>
        </w:rPr>
        <w:t>、合同生效</w:t>
      </w:r>
    </w:p>
    <w:p>
      <w:pPr>
        <w:jc w:val="both"/>
      </w:pPr>
      <w:r>
        <w:rPr>
          <w:sz w:val="21"/>
        </w:rPr>
        <w:t>（一）所有经双方或多方签署确认的文件（包括会议纪要、补充协议、往来信函）、招标文件和乙方投标文件、合同的附件及《中标通知书》均为本合同不可分割的有效组成部分，与本合同具有同等的法律效力和履约义务，其生效日期为签字盖章确认之日期。</w:t>
      </w:r>
    </w:p>
    <w:p>
      <w:pPr>
        <w:jc w:val="both"/>
      </w:pPr>
      <w:r>
        <w:rPr>
          <w:sz w:val="21"/>
        </w:rPr>
        <w:t>（二）一方按照对方有效送达地址向对方邮寄送达相关文书的视为履行书面通知及交付义务，以邮政部门出具的签收回执作为送达成功依据、签收日作为送达成功日；对方不得以签收人不是本人或不具有签收授权为由进行抗辩；若发生拒收或其他不能送达的情况，应立即书面通知对方；在收到对方发送的变更通知前，以上信息仍有效，对各方具有约束力书自邮寄之日起第三日视为送达成功。双方承诺，任何一方上述信息发生变更的均应当及时书面通知对方。</w:t>
      </w:r>
    </w:p>
    <w:p>
      <w:pPr>
        <w:jc w:val="both"/>
      </w:pPr>
      <w:r>
        <w:rPr>
          <w:sz w:val="21"/>
        </w:rPr>
        <w:t>（三）未经甲方书面同意，乙方不得擅自向第三方转让其应履行的合同项下的义务。</w:t>
      </w:r>
    </w:p>
    <w:p>
      <w:pPr>
        <w:jc w:val="both"/>
      </w:pPr>
      <w:r>
        <w:rPr>
          <w:sz w:val="21"/>
        </w:rPr>
        <w:t>（四）本合同一式伍份，甲方执贰份，乙方执贰份，采购代理机构执壹份。</w:t>
      </w:r>
    </w:p>
    <w:p>
      <w:pPr>
        <w:jc w:val="both"/>
      </w:pPr>
      <w:r>
        <w:rPr>
          <w:sz w:val="21"/>
        </w:rPr>
        <w:t>（五）本合同共计</w:t>
      </w:r>
      <w:r>
        <w:rPr>
          <w:sz w:val="21"/>
          <w:u w:val="single"/>
        </w:rPr>
        <w:t xml:space="preserve">   </w:t>
      </w:r>
      <w:r>
        <w:rPr>
          <w:sz w:val="21"/>
        </w:rPr>
        <w:t>页</w:t>
      </w:r>
      <w:r>
        <w:rPr>
          <w:sz w:val="21"/>
        </w:rPr>
        <w:t>A4</w:t>
      </w:r>
      <w:r>
        <w:rPr>
          <w:sz w:val="21"/>
        </w:rPr>
        <w:t>纸张，缺页之合同为无效合同。</w:t>
      </w:r>
    </w:p>
    <w:p>
      <w:pPr>
        <w:jc w:val="both"/>
      </w:pPr>
      <w:r>
        <w:rPr>
          <w:sz w:val="21"/>
        </w:rPr>
        <w:t>（六）本合同签约履约地点：广东省佛山市。</w:t>
      </w:r>
    </w:p>
    <w:p>
      <w:pPr>
        <w:jc w:val="both"/>
      </w:pPr>
    </w:p>
    <w:p>
      <w:pPr>
        <w:jc w:val="both"/>
      </w:pPr>
    </w:p>
    <w:p>
      <w:pPr>
        <w:jc w:val="both"/>
      </w:pPr>
      <w:r>
        <w:rPr>
          <w:sz w:val="21"/>
        </w:rPr>
        <w:t>甲方（盖章）：</w:t>
      </w:r>
      <w:r>
        <w:rPr>
          <w:sz w:val="21"/>
        </w:rPr>
        <w:t>广东省佛山市质量技术监督标准与编码所</w:t>
      </w:r>
      <w:r>
        <w:rPr>
          <w:sz w:val="21"/>
        </w:rPr>
        <w:t xml:space="preserve">       </w:t>
      </w:r>
      <w:r>
        <w:rPr>
          <w:sz w:val="21"/>
        </w:rPr>
        <w:t>乙方（盖章）：</w:t>
      </w:r>
      <w:r>
        <w:rPr>
          <w:sz w:val="21"/>
        </w:rPr>
        <w:t xml:space="preserve">  </w:t>
      </w:r>
    </w:p>
    <w:p>
      <w:pPr>
        <w:jc w:val="both"/>
      </w:pPr>
      <w:r>
        <w:rPr>
          <w:sz w:val="21"/>
        </w:rPr>
        <w:t>单位代表：</w:t>
      </w:r>
    </w:p>
    <w:p>
      <w:pPr>
        <w:jc w:val="both"/>
      </w:pPr>
      <w:r>
        <w:rPr>
          <w:sz w:val="21"/>
        </w:rPr>
        <w:t xml:space="preserve">                                                </w:t>
      </w:r>
      <w:r>
        <w:rPr>
          <w:sz w:val="21"/>
        </w:rPr>
        <w:t>单位代表：</w:t>
      </w:r>
    </w:p>
    <w:p>
      <w:pPr>
        <w:jc w:val="both"/>
      </w:pPr>
      <w:r>
        <w:rPr>
          <w:sz w:val="21"/>
        </w:rPr>
        <w:t xml:space="preserve"> </w:t>
      </w:r>
    </w:p>
    <w:p>
      <w:pPr>
        <w:ind w:firstLine="420"/>
        <w:jc w:val="both"/>
      </w:pPr>
    </w:p>
    <w:p>
      <w:pPr>
        <w:jc w:val="both"/>
      </w:pPr>
      <w:r>
        <w:rPr>
          <w:sz w:val="21"/>
        </w:rPr>
        <w:t>经办人</w:t>
      </w:r>
      <w:r>
        <w:rPr>
          <w:sz w:val="24"/>
        </w:rPr>
        <w:t>：</w:t>
      </w:r>
    </w:p>
    <w:p>
      <w:pPr>
        <w:ind w:firstLine="420"/>
        <w:jc w:val="both"/>
      </w:pPr>
    </w:p>
    <w:p>
      <w:pPr>
        <w:ind w:firstLine="420"/>
        <w:jc w:val="both"/>
      </w:pP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5040"/>
        <w:jc w:val="both"/>
      </w:pPr>
      <w:r>
        <w:rPr>
          <w:sz w:val="21"/>
        </w:rPr>
        <w:t>开户名称：</w:t>
      </w:r>
    </w:p>
    <w:p>
      <w:pPr>
        <w:ind w:firstLine="5040"/>
        <w:jc w:val="both"/>
      </w:pPr>
      <w:r>
        <w:rPr>
          <w:sz w:val="21"/>
        </w:rPr>
        <w:t>银行账号：</w:t>
      </w:r>
    </w:p>
    <w:p>
      <w:pPr>
        <w:ind w:firstLine="5040"/>
        <w:jc w:val="both"/>
      </w:pPr>
      <w:r>
        <w:rPr>
          <w:sz w:val="21"/>
        </w:rPr>
        <w:t>开户行：</w:t>
      </w:r>
      <w:r>
        <w:rPr>
          <w:sz w:val="21"/>
        </w:rPr>
        <w:t xml:space="preserve">          </w:t>
      </w:r>
      <w:r>
        <w:rPr>
          <w:sz w:val="21"/>
        </w:rPr>
        <w:t>支行</w:t>
      </w:r>
    </w:p>
    <w:p>
      <w:pPr>
        <w:jc w:val="left"/>
      </w:pPr>
    </w:p>
    <w:p>
      <w:pPr>
        <w:jc w:val="left"/>
      </w:pPr>
    </w:p>
    <w:p>
      <w:pPr>
        <w:jc w:val="left"/>
      </w:pPr>
      <w:r>
        <w:rPr>
          <w:sz w:val="21"/>
        </w:rPr>
        <w:t>见证单位（盖章）：佛山市信悦咨询有限公司</w:t>
      </w:r>
    </w:p>
    <w:p>
      <w:pPr>
        <w:jc w:val="left"/>
      </w:pPr>
      <w:r>
        <w:rPr>
          <w:sz w:val="21"/>
        </w:rPr>
        <w:t>经确认，与招标文件及投标文件内容相符。</w:t>
      </w:r>
    </w:p>
    <w:p>
      <w:pPr>
        <w:jc w:val="lef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left"/>
      </w:pPr>
    </w:p>
    <w:p>
      <w:pPr>
        <w:jc w:val="both"/>
      </w:pPr>
    </w:p>
    <w:p/>
    <w:p>
      <w:pPr>
        <w:jc w:val="left"/>
      </w:pPr>
    </w:p>
    <w:p>
      <w:pPr>
        <w:jc w:val="left"/>
      </w:pPr>
    </w:p>
    <w:p>
      <w:pPr>
        <w:jc w:val="both"/>
      </w:pPr>
    </w:p>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440001-2023-21743</w:t>
      </w:r>
    </w:p>
    <w:p>
      <w:pPr>
        <w:jc w:val="center"/>
      </w:pPr>
      <w:r>
        <w:rPr>
          <w:b/>
          <w:sz w:val="24"/>
        </w:rPr>
        <w:t>采购项目编号：</w:t>
      </w:r>
      <w:r>
        <w:rPr>
          <w:b/>
          <w:sz w:val="24"/>
        </w:rPr>
        <w:t>440001202322353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广东省市场监督管理局商品数字化与物联网编码应用科普基地自动化静物产品拍摄系统</w:t>
      </w:r>
      <w:r>
        <w:rPr>
          <w:u w:val="single"/>
        </w:rPr>
        <w:t>”</w:t>
      </w:r>
      <w:r>
        <w:rPr/>
        <w:t>项目的招标[采购项目编号为：</w:t>
      </w:r>
      <w:r>
        <w:rPr>
          <w:u w:val="single"/>
        </w:rPr>
        <w:t>440001202322353</w:t>
      </w:r>
      <w:r>
        <w:rPr/>
        <w:t>]，我方愿参与投标。</w:t>
      </w:r>
    </w:p>
    <w:p>
      <w:pPr>
        <w:ind w:firstLine="480"/>
      </w:pPr>
      <w:r>
        <w:rPr/>
        <w:t>我方确认收到贵方提供的</w:t>
      </w:r>
      <w:r>
        <w:rPr>
          <w:u w:val="single"/>
        </w:rPr>
        <w:t>“</w:t>
      </w:r>
      <w:r>
        <w:rPr>
          <w:u w:val="single"/>
        </w:rPr>
        <w:t>广东省市场监督管理局商品数字化与物联网编码应用科普基地自动化静物产品拍摄系统</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广东省市场监督管理局商品数字化与物联网编码应用科普基地自动化静物产品拍摄系统</w:t>
      </w:r>
      <w:r>
        <w:rPr/>
        <w:t>”项目采购[采购项目编号为</w:t>
      </w:r>
      <w:r>
        <w:rPr/>
        <w:t>440001202322353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广东省佛山市质量技术监督标准与编码所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广东省市场监督管理局商品数字化与物联网编码应用科普基地自动化静物产品拍摄系统</w:t>
      </w:r>
      <w:r>
        <w:rPr/>
        <w:t>招标中获中标（采购项目编号：</w:t>
      </w:r>
      <w:r>
        <w:rPr/>
        <w:t>440001202322353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广东省市场监督管理局商品数字化与物联网编码应用科普基地自动化静物产品拍摄系统</w:t>
      </w:r>
      <w:r>
        <w:rPr/>
        <w:t>”项目（采购项目编号：</w:t>
      </w:r>
      <w:r>
        <w:rPr/>
        <w:t>440001202322353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