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440601-2023-00973</w:t>
      </w:r>
    </w:p>
    <w:p>
      <w:pPr>
        <w:jc w:val="center"/>
      </w:pPr>
      <w:r>
        <w:rPr>
          <w:b/>
          <w:sz w:val="24"/>
        </w:rPr>
        <w:t>采购项目编号：</w:t>
      </w:r>
      <w:r>
        <w:rPr>
          <w:b/>
          <w:sz w:val="24"/>
        </w:rPr>
        <w:t>XY0122094</w:t>
      </w:r>
    </w:p>
    <w:p>
      <w:pPr>
        <w:jc w:val="center"/>
      </w:pPr>
      <w:r>
        <w:rPr>
          <w:b/>
          <w:sz w:val="24"/>
        </w:rPr>
        <w:t>项目名称：</w:t>
      </w:r>
      <w:r>
        <w:rPr>
          <w:b/>
          <w:sz w:val="24"/>
        </w:rPr>
        <w:t>编制佛山市城市绿地系统规划（含编制城市生物多样性保护规划）</w:t>
      </w:r>
    </w:p>
    <w:p>
      <w:pPr>
        <w:jc w:val="center"/>
      </w:pPr>
      <w:r>
        <w:rPr>
          <w:b/>
          <w:sz w:val="24"/>
        </w:rPr>
        <w:t>采购人：</w:t>
      </w:r>
      <w:r>
        <w:rPr>
          <w:b/>
          <w:sz w:val="24"/>
        </w:rPr>
        <w:t>佛山市城市管理和综合执法局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佛山市城市管理和综合执法局</w:t>
      </w:r>
      <w:r>
        <w:rPr/>
        <w:t>的委托，采用</w:t>
      </w:r>
      <w:r>
        <w:rPr/>
        <w:t>竞争性磋商</w:t>
      </w:r>
      <w:r>
        <w:rPr/>
        <w:t>方式组织采购</w:t>
      </w:r>
      <w:r>
        <w:rPr/>
        <w:t>编制佛山市城市绿地系统规划（含编制城市生物多样性保护规划）</w:t>
      </w:r>
      <w:r>
        <w:rPr/>
        <w:t>。欢迎符合资格条件的供应商参加。</w:t>
      </w:r>
    </w:p>
    <w:p>
      <w:r>
        <w:rPr>
          <w:b/>
          <w:sz w:val="28"/>
        </w:rPr>
        <w:t>一.项目概述</w:t>
      </w:r>
    </w:p>
    <w:p>
      <w:r>
        <w:rPr>
          <w:b/>
          <w:sz w:val="24"/>
        </w:rPr>
        <w:t>1.名称与编号</w:t>
      </w:r>
    </w:p>
    <w:p>
      <w:pPr>
        <w:ind w:firstLine="480"/>
      </w:pPr>
      <w:r>
        <w:rPr/>
        <w:t>采购项目名称：</w:t>
      </w:r>
      <w:r>
        <w:rPr/>
        <w:t>编制佛山市城市绿地系统规划（含编制城市生物多样性保护规划）</w:t>
      </w:r>
    </w:p>
    <w:p>
      <w:pPr>
        <w:ind w:firstLine="480"/>
      </w:pPr>
      <w:r>
        <w:rPr/>
        <w:t>采购计划编号：</w:t>
      </w:r>
      <w:r>
        <w:rPr/>
        <w:t>440601-2023-00973</w:t>
      </w:r>
    </w:p>
    <w:p>
      <w:pPr>
        <w:ind w:firstLine="480"/>
      </w:pPr>
      <w:r>
        <w:rPr/>
        <w:t>采购项目编号：</w:t>
      </w:r>
      <w:r>
        <w:rPr/>
        <w:t>XY0122094</w:t>
      </w:r>
    </w:p>
    <w:p>
      <w:pPr>
        <w:ind w:firstLine="480"/>
      </w:pPr>
      <w:r>
        <w:rPr/>
        <w:t>采购方式：</w:t>
      </w:r>
      <w:r>
        <w:rPr/>
        <w:t>竞争性磋商</w:t>
      </w:r>
    </w:p>
    <w:p>
      <w:pPr>
        <w:ind w:firstLine="480"/>
      </w:pPr>
      <w:r>
        <w:rPr/>
        <w:t>预算金额：</w:t>
      </w:r>
      <w:r>
        <w:rPr/>
        <w:t>3,820,000.00</w:t>
      </w:r>
      <w:r>
        <w:rPr/>
        <w:t>元</w:t>
      </w:r>
    </w:p>
    <w:p>
      <w:r>
        <w:rPr>
          <w:b/>
          <w:sz w:val="24"/>
        </w:rPr>
        <w:t>2.项目内容及需求情况（采购项目技术规格、参数及要求）</w:t>
      </w:r>
    </w:p>
    <w:p>
      <w:pPr>
        <w:ind w:firstLine="480"/>
      </w:pPr>
    </w:p>
    <w:p/>
    <w:p>
      <w:r>
        <w:rPr/>
        <w:t>采购包1(编制佛山市城市绿地系统规划（含编制城市生物多样性保护规划）):</w:t>
      </w:r>
    </w:p>
    <w:p>
      <w:r>
        <w:rPr/>
        <w:t>采购包预算金额：3,820,000.00元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区域规划和设计服务</w:t>
            </w:r>
          </w:p>
        </w:tc>
        <w:tc>
          <w:tcPr>
            <w:tcW w:type="dxa" w:w="2136"/>
          </w:tcPr>
          <w:p>
            <w:r>
              <w:rPr/>
              <w:t>编制佛山市城市绿地系统规划（含编制城市生物多样性保护规划）</w:t>
            </w:r>
          </w:p>
        </w:tc>
        <w:tc>
          <w:tcPr>
            <w:tcW w:type="dxa" w:w="1187"/>
          </w:tcPr>
          <w:p>
            <w:r>
              <w:rPr/>
              <w:t>1.0000(项)</w:t>
            </w:r>
          </w:p>
        </w:tc>
        <w:tc>
          <w:tcPr>
            <w:tcW w:type="dxa" w:w="1187"/>
          </w:tcPr>
          <w:p>
            <w:r>
              <w:rPr/>
              <w:t>详见第二章</w:t>
            </w:r>
          </w:p>
        </w:tc>
        <w:tc>
          <w:tcPr>
            <w:tcW w:type="dxa" w:w="1187"/>
          </w:tcPr>
          <w:p>
            <w:r>
              <w:rPr/>
              <w:t>否</w:t>
            </w:r>
          </w:p>
        </w:tc>
      </w:tr>
    </w:tbl>
    <w:p/>
    <w:p>
      <w:r>
        <w:rPr/>
        <w:t>本采购包接受联合体响应</w:t>
      </w:r>
    </w:p>
    <w:p/>
    <w:p>
      <w:r>
        <w:rPr/>
        <w:t>合同履行期限：自合同签订之日起一年内。</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如联合体响应的，联合体各方都需提供）</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如联合体响应的，联合体各方都需提供）</w:t>
      </w:r>
    </w:p>
    <w:p/>
    <w:p>
      <w:r>
        <w:rPr/>
        <w:t>3）具有良好的商业信誉和健全的财务会计制度：提供2021年度或2022年度财务状况报告复印件，或响应文件递交截止日前6个月内（不含截止日当月）任意1个月的的财务状况报告复印件，或响应文件递交截止日前6个月内（含截止日当月）基本开户行出具的资信证明复印件。（如联合体响应的，联合体各方都需提供）</w:t>
      </w:r>
    </w:p>
    <w:p/>
    <w:p>
      <w:r>
        <w:rPr/>
        <w:t>4）履行合同所必需的设备和专业技术能力：按投标（响应）文件格式填报设备及专业技术能力情况。（如联合体响应的，联合体各方都需提供）</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响应的，联合体各方都需提供）</w:t>
      </w:r>
    </w:p>
    <w:p/>
    <w:p>
      <w:r>
        <w:rPr>
          <w:b/>
          <w:sz w:val="24"/>
        </w:rPr>
        <w:t>2.落实政府采购政策需满足的资格要求：</w:t>
      </w:r>
    </w:p>
    <w:p>
      <w:pPr>
        <w:ind w:firstLine="480"/>
      </w:pPr>
    </w:p>
    <w:p>
      <w:pPr>
        <w:jc w:val="left"/>
      </w:pPr>
    </w:p>
    <w:p>
      <w:r>
        <w:rPr/>
        <w:t>采购包1（编制佛山市城市绿地系统规划（含编制城市生物多样性保护规划））：</w:t>
      </w:r>
      <w:r>
        <w:rPr/>
        <w:t>采购包属于预留采购份额给中小企业采购的项目，中小企业预留份额不低于40%，如供应商不属于中小企业，必须与中小企业组成联合体形式参加政府采购活动，且提供《联合体共同响应协议书》和中小企业的《中小企业声明函》（监狱企业、残疾人福利单位视同小型、微型企业），《联合体共同响应协议书》中中小企业合同金额所占比例不低于40%；如果供应商本身属于中小企业，视同符合本条要求，无须再与其他中小企业组成联合体参加本政府采购活动。本项目行业为：其他未列明行业。中小企业以供应商填写的《中小企业声明函》【见响应文件格式与要求】为判定标准，残疾人福利性单位以供应商填写的《残疾人福利性单位声明函》【见响应文件格式与要求】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采购包1（编制佛山市城市绿地系统规划（含编制城市生物多样性保护规划））：</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联合体响应的，对所有联合体成员进行信用记录查询，联合体成员存在不良信用记录的，视同联合体存在不良信用记录）。</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如联合体投标的，联合体各方都需提供）</w:t>
      </w:r>
    </w:p>
    <w:p/>
    <w:p>
      <w:r>
        <w:rPr/>
        <w:t>3)供应商须具备有效的城乡规划编制甲级资质证书（如联合体响应的，联合体牵头方须具备有效的城乡规划编制甲级资质证书）。</w:t>
      </w:r>
    </w:p>
    <w:p/>
    <w:p>
      <w:r>
        <w:rPr/>
        <w:t>4)如是联合体响应的，联合体最多由两家单位（已含牵头单位及成员单位）组成，须提供《联合体共同响应协议书》。</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佛山市城市管理和综合执法局</w:t>
      </w:r>
    </w:p>
    <w:p>
      <w:pPr>
        <w:ind w:firstLine="480"/>
      </w:pPr>
      <w:r>
        <w:rPr/>
        <w:t>地址：</w:t>
      </w:r>
      <w:r>
        <w:rPr/>
        <w:t>佛山市禅城区人民路98号</w:t>
      </w:r>
    </w:p>
    <w:p>
      <w:pPr>
        <w:ind w:firstLine="480"/>
      </w:pPr>
      <w:r>
        <w:rPr/>
        <w:t>联系方式：</w:t>
      </w:r>
      <w:r>
        <w:rPr/>
        <w:t>0757-82626770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廖永宜</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根据《国务院办公厅关于科学绿化的指导意见》《广东省关于科学绿化的实施意见》的要求，为了加强佛山市绿化规划引领、大力提升绿化管理水平，组织开展《编制佛山市城市绿地系统规划》（含编制城市生物多样性保护规划），摸查全市现状绿地分布情况，科学确定绿地规划目标，明确绿地空间布局，引领全市绿化高质量发展。</w:t>
      </w:r>
    </w:p>
    <w:p/>
    <w:p>
      <w:pPr>
        <w:ind w:firstLine="480"/>
      </w:pPr>
    </w:p>
    <w:p/>
    <w:p>
      <w:r>
        <w:rPr/>
        <w:t>采购包1（编制佛山市城市绿地系统规划（含编制城市生物多样性保护规划））</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★自合同签订之日起一年内。</w:t>
            </w:r>
          </w:p>
        </w:tc>
      </w:tr>
      <w:tr>
        <w:tc>
          <w:tcPr>
            <w:tcW w:type="dxa" w:w="4153"/>
          </w:tcPr>
          <w:p>
            <w:r>
              <w:rPr/>
              <w:t>标的提供的地点</w:t>
            </w:r>
          </w:p>
        </w:tc>
        <w:tc>
          <w:tcPr>
            <w:tcW w:type="dxa" w:w="4153"/>
          </w:tcPr>
          <w:p/>
          <w:p>
            <w:r>
              <w:rPr/>
              <w:t>佛山市。</w:t>
            </w:r>
          </w:p>
        </w:tc>
      </w:tr>
      <w:tr>
        <w:tc>
          <w:tcPr>
            <w:tcW w:type="dxa" w:w="4153"/>
          </w:tcPr>
          <w:p>
            <w:r>
              <w:rPr/>
              <w:t>付款方式</w:t>
            </w:r>
          </w:p>
        </w:tc>
        <w:tc>
          <w:tcPr>
            <w:tcW w:type="dxa" w:w="4153"/>
          </w:tcPr>
          <w:p/>
          <w:p/>
          <w:p>
            <w:r>
              <w:rPr/>
              <w:t>1期：支付比例30%,1.预付款：签订合同后5个工作日内，支付合同总额的30%。</w:t>
            </w:r>
          </w:p>
          <w:p/>
          <w:p>
            <w:r>
              <w:rPr/>
              <w:t>2期：支付比例40%,2.完成专家评审并经采购人确认后10日内，支付合同总额的40%。</w:t>
            </w:r>
          </w:p>
          <w:p/>
          <w:p>
            <w:r>
              <w:rPr/>
              <w:t>3期：支付比例30%,3.完成最终成果并经采购人验收确认后10日内，支付合同总额的30%。 4.成交供应商凭以下有效文件与采购人结算： （1）合同； （2）成交供应商开具的正式发票； （3）支付条款要求的阶段性成果（第二笔款项与第三笔款项支付时提供）； （4）成交通知书。 成交供应商收款时必须持有效发票与采购人结算。收款方、出具发票方、合同乙方均必须与成交供应商名称一致，如成交供应商为联合体的，由联合体双方约定各自的收款比例。</w:t>
            </w:r>
          </w:p>
        </w:tc>
      </w:tr>
      <w:tr>
        <w:tc>
          <w:tcPr>
            <w:tcW w:type="dxa" w:w="4153"/>
          </w:tcPr>
          <w:p>
            <w:r>
              <w:rPr/>
              <w:t>验收要求</w:t>
            </w:r>
          </w:p>
        </w:tc>
        <w:tc>
          <w:tcPr>
            <w:tcW w:type="dxa" w:w="4153"/>
          </w:tcPr>
          <w:p/>
          <w:p/>
          <w:p/>
          <w:p>
            <w:r>
              <w:rPr/>
              <w:t>1期：1.采购人按竞争性磋商文件、响应文件以及服务合同条款进行验收，验收应符合国家、广东省、佛山市或行业的有关规定。 2.项目成果须通过专家评审会评审（评审专家费用由成交供应商承担），并经采购人书面确认验收。 3.成交供应商应在验收通过后向采购人提供完整的最终成果。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报价必须包括但不限于项目编制费用、研究费用、策划费用、专家评审费用、资料收集、成果制作、文档和图件打印装订费用、雇员费用、税费、合理利润、风险费用及合同实施过程中的应预见和不可预见等一切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编制佛山市城市绿地系统规划（含编制城市生物多样性保护规划）</w:t>
            </w:r>
          </w:p>
        </w:tc>
        <w:tc>
          <w:tcPr>
            <w:tcW w:type="dxa" w:w="933"/>
          </w:tcPr>
          <w:p>
            <w:pPr>
              <w:jc w:val="left"/>
            </w:pPr>
            <w:r>
              <w:rPr/>
              <w:t>项</w:t>
            </w:r>
          </w:p>
        </w:tc>
        <w:tc>
          <w:tcPr>
            <w:tcW w:type="dxa" w:w="933"/>
          </w:tcPr>
          <w:p>
            <w:pPr>
              <w:jc w:val="right"/>
            </w:pPr>
            <w:r>
              <w:rPr/>
              <w:t>1.00</w:t>
            </w:r>
          </w:p>
        </w:tc>
        <w:tc>
          <w:tcPr>
            <w:tcW w:type="dxa" w:w="933"/>
          </w:tcPr>
          <w:p>
            <w:pPr>
              <w:jc w:val="right"/>
            </w:pPr>
            <w:r>
              <w:rPr/>
              <w:t>3,820,000.00</w:t>
            </w:r>
          </w:p>
        </w:tc>
        <w:tc>
          <w:tcPr>
            <w:tcW w:type="dxa" w:w="933"/>
          </w:tcPr>
          <w:p>
            <w:pPr>
              <w:jc w:val="right"/>
            </w:pPr>
            <w:r>
              <w:rPr/>
              <w:t>3,820,000.00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编制佛山市城市绿地系统规划（含编制城市生物多样性保护规划）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一、项目内容</w:t>
            </w:r>
          </w:p>
          <w:p>
            <w:pPr>
              <w:ind w:firstLine="420"/>
              <w:jc w:val="left"/>
            </w:pPr>
            <w:r>
              <w:rPr>
                <w:sz w:val="21"/>
              </w:rPr>
              <w:t>编制《佛山市城市绿地系统规划》及《佛山市生物多样性保护规划》。</w:t>
            </w:r>
          </w:p>
          <w:p>
            <w:pPr>
              <w:jc w:val="left"/>
            </w:pPr>
            <w:r>
              <w:rPr>
                <w:b/>
                <w:sz w:val="21"/>
              </w:rPr>
              <w:t>1.《佛山市城市绿地系统规划》编制内容</w:t>
            </w:r>
          </w:p>
          <w:p>
            <w:pPr>
              <w:jc w:val="left"/>
            </w:pPr>
            <w:r>
              <w:rPr>
                <w:sz w:val="21"/>
              </w:rPr>
              <w:t>（</w:t>
            </w:r>
            <w:r>
              <w:rPr>
                <w:sz w:val="21"/>
              </w:rPr>
              <w:t>1）佛山市绿地系统现状分析</w:t>
            </w:r>
          </w:p>
          <w:p>
            <w:pPr>
              <w:ind w:firstLine="420"/>
              <w:jc w:val="left"/>
            </w:pPr>
            <w:r>
              <w:rPr>
                <w:sz w:val="21"/>
              </w:rPr>
              <w:t>对佛山市各类绿地开展现状统计分析，从绿地布局结构、人均绿地指标情况、等方面梳理佛山市绿地发展的优势与动力，总结存在的主要问题。</w:t>
            </w:r>
          </w:p>
          <w:p>
            <w:pPr>
              <w:jc w:val="left"/>
            </w:pPr>
            <w:r>
              <w:rPr>
                <w:sz w:val="21"/>
              </w:rPr>
              <w:t>（</w:t>
            </w:r>
            <w:r>
              <w:rPr>
                <w:sz w:val="21"/>
              </w:rPr>
              <w:t>2）明确绿地系统发展目标</w:t>
            </w:r>
          </w:p>
          <w:p>
            <w:pPr>
              <w:ind w:firstLine="420"/>
              <w:jc w:val="left"/>
            </w:pPr>
            <w:r>
              <w:rPr>
                <w:sz w:val="21"/>
              </w:rPr>
              <w:t>统筹衔接市级国土空间规划、自然生态文明规划、碧道建设规划等内容，明确绿地分类，构建绿地发展体系，提出发展目标及控制指标。</w:t>
            </w:r>
          </w:p>
          <w:p>
            <w:pPr>
              <w:jc w:val="left"/>
            </w:pPr>
            <w:r>
              <w:rPr>
                <w:sz w:val="21"/>
              </w:rPr>
              <w:t>（</w:t>
            </w:r>
            <w:r>
              <w:rPr>
                <w:sz w:val="21"/>
              </w:rPr>
              <w:t>3）提出绿地系统空间结构</w:t>
            </w:r>
          </w:p>
          <w:p>
            <w:pPr>
              <w:ind w:firstLine="420"/>
              <w:jc w:val="left"/>
            </w:pPr>
            <w:r>
              <w:rPr>
                <w:sz w:val="21"/>
              </w:rPr>
              <w:t>结合市域生态格局及绿地发展现状，提出绿地系统空间格局，明确重要的绿地斑块、廊道、节点，构建完善的绿地生态网络。</w:t>
            </w:r>
          </w:p>
          <w:p>
            <w:pPr>
              <w:jc w:val="left"/>
            </w:pPr>
            <w:r>
              <w:rPr>
                <w:sz w:val="21"/>
              </w:rPr>
              <w:t>（</w:t>
            </w:r>
            <w:r>
              <w:rPr>
                <w:sz w:val="21"/>
              </w:rPr>
              <w:t>4）明确绿地规划布局</w:t>
            </w:r>
          </w:p>
          <w:p>
            <w:pPr>
              <w:ind w:firstLine="420"/>
              <w:jc w:val="left"/>
            </w:pPr>
            <w:r>
              <w:rPr>
                <w:sz w:val="21"/>
              </w:rPr>
              <w:t>突出绿地布局的系统性、完整性与连续性，提出各类绿地规划布局，明确提出各类绿地规划建设指引。</w:t>
            </w:r>
          </w:p>
          <w:p>
            <w:pPr>
              <w:jc w:val="left"/>
            </w:pPr>
            <w:r>
              <w:rPr>
                <w:sz w:val="21"/>
              </w:rPr>
              <w:t>（</w:t>
            </w:r>
            <w:r>
              <w:rPr>
                <w:sz w:val="21"/>
              </w:rPr>
              <w:t>5）防灾避险功能绿地规划</w:t>
            </w:r>
          </w:p>
          <w:p>
            <w:pPr>
              <w:ind w:firstLine="420"/>
              <w:jc w:val="left"/>
            </w:pPr>
            <w:r>
              <w:rPr>
                <w:sz w:val="21"/>
              </w:rPr>
              <w:t>根据防灾避险功能要求，提出长期避险绿地、中短期避险绿地、紧急避险绿地和城市隔离缓冲绿带规划布局。</w:t>
            </w:r>
          </w:p>
          <w:p>
            <w:pPr>
              <w:jc w:val="left"/>
            </w:pPr>
            <w:r>
              <w:rPr>
                <w:sz w:val="21"/>
              </w:rPr>
              <w:t>（</w:t>
            </w:r>
            <w:r>
              <w:rPr>
                <w:sz w:val="21"/>
              </w:rPr>
              <w:t>6）绿地景观风貌规划</w:t>
            </w:r>
          </w:p>
          <w:p>
            <w:pPr>
              <w:ind w:firstLine="420"/>
              <w:jc w:val="left"/>
            </w:pPr>
            <w:r>
              <w:rPr>
                <w:sz w:val="21"/>
              </w:rPr>
              <w:t>提出植物配置、文化内涵、设施小品和文娱活动等要素指引，引导形成整体有共性、各类绿地有特色的绿地景观风貌网络。</w:t>
            </w:r>
          </w:p>
          <w:p>
            <w:pPr>
              <w:jc w:val="left"/>
            </w:pPr>
            <w:r>
              <w:rPr>
                <w:sz w:val="21"/>
              </w:rPr>
              <w:t>（</w:t>
            </w:r>
            <w:r>
              <w:rPr>
                <w:sz w:val="21"/>
              </w:rPr>
              <w:t>7）树种规划</w:t>
            </w:r>
          </w:p>
          <w:p>
            <w:pPr>
              <w:ind w:firstLine="420"/>
              <w:jc w:val="left"/>
            </w:pPr>
            <w:r>
              <w:rPr>
                <w:sz w:val="21"/>
              </w:rPr>
              <w:t>确定城市绿化基调树种、骨干树种和一般树种等名录。</w:t>
            </w:r>
          </w:p>
          <w:p>
            <w:pPr>
              <w:jc w:val="left"/>
            </w:pPr>
            <w:r>
              <w:rPr>
                <w:sz w:val="21"/>
              </w:rPr>
              <w:t>（</w:t>
            </w:r>
            <w:r>
              <w:rPr>
                <w:sz w:val="21"/>
              </w:rPr>
              <w:t>8）城市立体绿化规划</w:t>
            </w:r>
          </w:p>
          <w:p>
            <w:pPr>
              <w:ind w:firstLine="420"/>
              <w:jc w:val="left"/>
            </w:pPr>
            <w:r>
              <w:rPr>
                <w:sz w:val="21"/>
              </w:rPr>
              <w:t>识别市域高密度、高强度建设区域，明确立体绿化的重点建设片区，提出立体绿化建设形式与建设指引。</w:t>
            </w:r>
          </w:p>
          <w:p>
            <w:pPr>
              <w:jc w:val="left"/>
            </w:pPr>
            <w:r>
              <w:rPr>
                <w:sz w:val="21"/>
              </w:rPr>
              <w:t>（</w:t>
            </w:r>
            <w:r>
              <w:rPr>
                <w:sz w:val="21"/>
              </w:rPr>
              <w:t>9）分期建设规划</w:t>
            </w:r>
          </w:p>
          <w:p>
            <w:pPr>
              <w:ind w:firstLine="420"/>
              <w:jc w:val="left"/>
            </w:pPr>
            <w:r>
              <w:rPr>
                <w:sz w:val="21"/>
              </w:rPr>
              <w:t>提出近远期绿地发展目标与建设重点，保障规划有序实施。</w:t>
            </w:r>
          </w:p>
          <w:p>
            <w:pPr>
              <w:jc w:val="left"/>
            </w:pPr>
            <w:r>
              <w:rPr>
                <w:b/>
                <w:sz w:val="21"/>
              </w:rPr>
              <w:t>2.《佛山市生物多样性保护规划》编制内容</w:t>
            </w:r>
          </w:p>
          <w:p>
            <w:pPr>
              <w:jc w:val="left"/>
            </w:pPr>
            <w:r>
              <w:rPr>
                <w:sz w:val="21"/>
              </w:rPr>
              <w:t>（</w:t>
            </w:r>
            <w:r>
              <w:rPr>
                <w:sz w:val="21"/>
              </w:rPr>
              <w:t>1）开展生物多样性现状调查与分析</w:t>
            </w:r>
          </w:p>
          <w:p>
            <w:pPr>
              <w:ind w:firstLine="420"/>
              <w:jc w:val="left"/>
            </w:pPr>
            <w:r>
              <w:rPr>
                <w:sz w:val="21"/>
              </w:rPr>
              <w:t>开展生态系统多样性、物种多样性、遗传多样性等调查，掌握目前佛山市内生物多样性保护与管理现状，分析评价生物多样性保护面临的主要生态环境问题。</w:t>
            </w:r>
          </w:p>
          <w:p>
            <w:pPr>
              <w:jc w:val="left"/>
            </w:pPr>
            <w:r>
              <w:rPr>
                <w:sz w:val="21"/>
              </w:rPr>
              <w:t>（</w:t>
            </w:r>
            <w:r>
              <w:rPr>
                <w:sz w:val="21"/>
              </w:rPr>
              <w:t>2）提出生物多样性保护目标</w:t>
            </w:r>
          </w:p>
          <w:p>
            <w:pPr>
              <w:ind w:firstLine="420"/>
              <w:jc w:val="left"/>
            </w:pPr>
            <w:r>
              <w:rPr>
                <w:sz w:val="21"/>
              </w:rPr>
              <w:t>结合生物多样性保护与管理现状，提出佛山市生物多样性保护目标。</w:t>
            </w:r>
          </w:p>
          <w:p>
            <w:pPr>
              <w:jc w:val="left"/>
            </w:pPr>
            <w:r>
              <w:rPr>
                <w:sz w:val="21"/>
              </w:rPr>
              <w:t>（</w:t>
            </w:r>
            <w:r>
              <w:rPr>
                <w:sz w:val="21"/>
              </w:rPr>
              <w:t>3）合理优化生物多样性保护空间布局</w:t>
            </w:r>
          </w:p>
          <w:p>
            <w:pPr>
              <w:ind w:firstLine="420"/>
              <w:jc w:val="left"/>
            </w:pPr>
            <w:r>
              <w:rPr>
                <w:sz w:val="21"/>
              </w:rPr>
              <w:t>划分生物多样性保护分区、构建多层次、多尺度的生物多样性保护网络体系。</w:t>
            </w:r>
          </w:p>
          <w:p>
            <w:pPr>
              <w:jc w:val="left"/>
            </w:pPr>
            <w:r>
              <w:rPr>
                <w:sz w:val="21"/>
              </w:rPr>
              <w:t>（</w:t>
            </w:r>
            <w:r>
              <w:rPr>
                <w:sz w:val="21"/>
              </w:rPr>
              <w:t>4）明确重点保护与恢复工程</w:t>
            </w:r>
          </w:p>
          <w:p>
            <w:pPr>
              <w:ind w:firstLine="420"/>
              <w:jc w:val="left"/>
            </w:pPr>
            <w:r>
              <w:rPr>
                <w:sz w:val="21"/>
              </w:rPr>
              <w:t xml:space="preserve"> 提出重要生物源地、指示物种等保护恢复工程，保障规划有序设施</w:t>
            </w:r>
            <w:r>
              <w:rPr>
                <w:sz w:val="21"/>
              </w:rPr>
              <w:t>。</w:t>
            </w:r>
          </w:p>
          <w:p/>
        </w:tc>
      </w:tr>
      <w:tr>
        <w:tc>
          <w:tcPr>
            <w:tcW w:type="dxa" w:w="2076"/>
          </w:tcPr>
          <w:p/>
        </w:tc>
        <w:tc>
          <w:tcPr>
            <w:tcW w:type="dxa" w:w="415"/>
          </w:tcPr>
          <w:p>
            <w:r>
              <w:rPr/>
              <w:t>2</w:t>
            </w:r>
          </w:p>
        </w:tc>
        <w:tc>
          <w:tcPr>
            <w:tcW w:type="dxa" w:w="5814"/>
          </w:tcPr>
          <w:p>
            <w:pPr>
              <w:jc w:val="left"/>
            </w:pPr>
            <w:r>
              <w:rPr>
                <w:b/>
                <w:sz w:val="21"/>
              </w:rPr>
              <w:t>二、成果形式及要求</w:t>
            </w:r>
          </w:p>
          <w:p>
            <w:pPr>
              <w:jc w:val="left"/>
            </w:pPr>
            <w:r>
              <w:rPr>
                <w:sz w:val="21"/>
              </w:rPr>
              <w:t>1.本项目的成果内容和深度符合</w:t>
            </w:r>
            <w:r>
              <w:rPr>
                <w:sz w:val="21"/>
              </w:rPr>
              <w:t>《城市绿地系统规划编制纲要》要求、符合国家园林城市复查要求、符合</w:t>
            </w:r>
            <w:r>
              <w:rPr>
                <w:sz w:val="21"/>
              </w:rPr>
              <w:t>国家、广东省和佛山市的相关规范、规定要求。本项目成果由文本、说明书（含技术图纸）组成。</w:t>
            </w:r>
          </w:p>
          <w:p>
            <w:r>
              <w:rPr>
                <w:sz w:val="21"/>
              </w:rPr>
              <w:t>2.电子文件要求：本次规划成果均应制作成计算机电子文档。电子文件的形式须符合佛山市的有关要求。</w:t>
            </w:r>
          </w:p>
        </w:tc>
      </w:tr>
      <w:tr>
        <w:tc>
          <w:tcPr>
            <w:tcW w:type="dxa" w:w="2076"/>
          </w:tcPr>
          <w:p/>
        </w:tc>
        <w:tc>
          <w:tcPr>
            <w:tcW w:type="dxa" w:w="415"/>
          </w:tcPr>
          <w:p>
            <w:r>
              <w:rPr/>
              <w:t>3</w:t>
            </w:r>
          </w:p>
        </w:tc>
        <w:tc>
          <w:tcPr>
            <w:tcW w:type="dxa" w:w="5814"/>
          </w:tcPr>
          <w:p>
            <w:pPr>
              <w:jc w:val="left"/>
            </w:pPr>
            <w:r>
              <w:rPr>
                <w:b/>
                <w:sz w:val="21"/>
              </w:rPr>
              <w:t>三、工作周期与进度安排</w:t>
            </w:r>
          </w:p>
          <w:p>
            <w:pPr>
              <w:ind w:firstLine="420"/>
              <w:jc w:val="left"/>
            </w:pPr>
            <w:r>
              <w:rPr>
                <w:sz w:val="21"/>
              </w:rPr>
              <w:t>项目开展分为初步成果阶段、中期成果阶段、专家评审阶段、</w:t>
            </w:r>
            <w:r>
              <w:rPr>
                <w:sz w:val="21"/>
              </w:rPr>
              <w:t>终期成果</w:t>
            </w:r>
            <w:r>
              <w:rPr>
                <w:sz w:val="21"/>
              </w:rPr>
              <w:t>阶段</w:t>
            </w:r>
            <w:r>
              <w:rPr>
                <w:sz w:val="21"/>
              </w:rPr>
              <w:t>4个阶段，计划12个月内完成。</w:t>
            </w:r>
          </w:p>
          <w:tbl>
            <w:tblPr>
              <w:tblBorders>
                <w:top w:val="none" w:color="000000" w:sz="4"/>
                <w:left w:val="none" w:color="000000" w:sz="4"/>
                <w:bottom w:val="none" w:color="000000" w:sz="4"/>
                <w:right w:val="none" w:color="000000" w:sz="4"/>
                <w:insideH w:val="none"/>
                <w:insideV w:val="none"/>
              </w:tblBorders>
            </w:tblPr>
            <w:tblGrid>
              <w:gridCol w:w="1814"/>
              <w:gridCol w:w="1091"/>
              <w:gridCol w:w="2692"/>
            </w:tblGrid>
            <w:tr>
              <w:tc>
                <w:tcPr>
                  <w:tcW w:type="dxa" w:w="1814"/>
                  <w:tcBorders>
                    <w:top w:val="single" w:color="000000" w:sz="4"/>
                    <w:left w:val="single" w:color="000000" w:sz="4"/>
                    <w:bottom w:val="single" w:color="000000" w:sz="4"/>
                    <w:right w:val="single" w:color="000000" w:sz="4"/>
                  </w:tcBorders>
                  <w:vAlign w:val="top"/>
                </w:tcPr>
                <w:p>
                  <w:pPr>
                    <w:jc w:val="center"/>
                  </w:pPr>
                  <w:r>
                    <w:rPr>
                      <w:b/>
                      <w:sz w:val="21"/>
                    </w:rPr>
                    <w:t>阶段划分</w:t>
                  </w:r>
                </w:p>
              </w:tc>
              <w:tc>
                <w:tcPr>
                  <w:tcW w:type="dxa" w:w="1091"/>
                  <w:tcBorders>
                    <w:top w:val="single" w:color="000000" w:sz="4"/>
                    <w:left w:val="single" w:color="000000" w:sz="4"/>
                    <w:bottom w:val="single" w:color="000000" w:sz="4"/>
                    <w:right w:val="single" w:color="000000" w:sz="4"/>
                  </w:tcBorders>
                  <w:vAlign w:val="top"/>
                </w:tcPr>
                <w:p>
                  <w:pPr>
                    <w:jc w:val="center"/>
                  </w:pPr>
                  <w:r>
                    <w:rPr>
                      <w:b/>
                      <w:sz w:val="21"/>
                    </w:rPr>
                    <w:t>时间</w:t>
                  </w:r>
                </w:p>
              </w:tc>
              <w:tc>
                <w:tcPr>
                  <w:tcW w:type="dxa" w:w="2692"/>
                  <w:tcBorders>
                    <w:top w:val="single" w:color="000000" w:sz="4"/>
                    <w:left w:val="single" w:color="000000" w:sz="4"/>
                    <w:bottom w:val="single" w:color="000000" w:sz="4"/>
                    <w:right w:val="single" w:color="000000" w:sz="4"/>
                  </w:tcBorders>
                  <w:vAlign w:val="top"/>
                </w:tcPr>
                <w:p>
                  <w:pPr>
                    <w:jc w:val="center"/>
                  </w:pPr>
                  <w:r>
                    <w:rPr>
                      <w:b/>
                      <w:sz w:val="21"/>
                    </w:rPr>
                    <w:t>项目开展方式</w:t>
                  </w:r>
                </w:p>
              </w:tc>
            </w:tr>
            <w:tr>
              <w:tc>
                <w:tcPr>
                  <w:tcW w:type="dxa" w:w="1814"/>
                  <w:tcBorders>
                    <w:top w:val="none" w:color="000000" w:sz="4"/>
                    <w:left w:val="single" w:color="000000" w:sz="4"/>
                    <w:bottom w:val="single" w:color="000000" w:sz="4"/>
                    <w:right w:val="single" w:color="000000" w:sz="4"/>
                  </w:tcBorders>
                  <w:vAlign w:val="top"/>
                </w:tcPr>
                <w:p>
                  <w:pPr>
                    <w:jc w:val="center"/>
                  </w:pPr>
                  <w:r>
                    <w:rPr>
                      <w:sz w:val="21"/>
                    </w:rPr>
                    <w:t>初步成果阶段</w:t>
                  </w:r>
                </w:p>
              </w:tc>
              <w:tc>
                <w:tcPr>
                  <w:tcW w:type="dxa" w:w="1091"/>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2692"/>
                  <w:tcBorders>
                    <w:top w:val="none" w:color="000000" w:sz="4"/>
                    <w:left w:val="single" w:color="000000" w:sz="4"/>
                    <w:bottom w:val="single" w:color="000000" w:sz="4"/>
                    <w:right w:val="single" w:color="000000" w:sz="4"/>
                  </w:tcBorders>
                  <w:vAlign w:val="top"/>
                </w:tcPr>
                <w:p>
                  <w:pPr>
                    <w:jc w:val="center"/>
                  </w:pPr>
                  <w:r>
                    <w:rPr>
                      <w:sz w:val="21"/>
                    </w:rPr>
                    <w:t>完成初步成果。</w:t>
                  </w:r>
                </w:p>
              </w:tc>
            </w:tr>
            <w:tr>
              <w:tc>
                <w:tcPr>
                  <w:tcW w:type="dxa" w:w="1814"/>
                  <w:tcBorders>
                    <w:top w:val="none" w:color="000000" w:sz="4"/>
                    <w:left w:val="single" w:color="000000" w:sz="4"/>
                    <w:bottom w:val="single" w:color="000000" w:sz="4"/>
                    <w:right w:val="single" w:color="000000" w:sz="4"/>
                  </w:tcBorders>
                  <w:vAlign w:val="top"/>
                </w:tcPr>
                <w:p>
                  <w:pPr>
                    <w:jc w:val="center"/>
                  </w:pPr>
                  <w:r>
                    <w:rPr>
                      <w:sz w:val="21"/>
                    </w:rPr>
                    <w:t>中期成果阶段</w:t>
                  </w:r>
                </w:p>
              </w:tc>
              <w:tc>
                <w:tcPr>
                  <w:tcW w:type="dxa" w:w="1091"/>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2692"/>
                  <w:tcBorders>
                    <w:top w:val="none" w:color="000000" w:sz="4"/>
                    <w:left w:val="single" w:color="000000" w:sz="4"/>
                    <w:bottom w:val="single" w:color="000000" w:sz="4"/>
                    <w:right w:val="single" w:color="000000" w:sz="4"/>
                  </w:tcBorders>
                  <w:vAlign w:val="top"/>
                </w:tcPr>
                <w:p>
                  <w:pPr>
                    <w:jc w:val="center"/>
                  </w:pPr>
                  <w:r>
                    <w:rPr>
                      <w:sz w:val="21"/>
                    </w:rPr>
                    <w:t>完成中期成果，征求意见。</w:t>
                  </w:r>
                </w:p>
              </w:tc>
            </w:tr>
            <w:tr>
              <w:tc>
                <w:tcPr>
                  <w:tcW w:type="dxa" w:w="1814"/>
                  <w:tcBorders>
                    <w:top w:val="none" w:color="000000" w:sz="4"/>
                    <w:left w:val="single" w:color="000000" w:sz="4"/>
                    <w:bottom w:val="single" w:color="000000" w:sz="4"/>
                    <w:right w:val="single" w:color="000000" w:sz="4"/>
                  </w:tcBorders>
                  <w:vAlign w:val="top"/>
                </w:tcPr>
                <w:p>
                  <w:pPr>
                    <w:jc w:val="center"/>
                  </w:pPr>
                  <w:r>
                    <w:rPr>
                      <w:sz w:val="21"/>
                    </w:rPr>
                    <w:t>专家评审阶段</w:t>
                  </w:r>
                </w:p>
              </w:tc>
              <w:tc>
                <w:tcPr>
                  <w:tcW w:type="dxa" w:w="1091"/>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2692"/>
                  <w:tcBorders>
                    <w:top w:val="none" w:color="000000" w:sz="4"/>
                    <w:left w:val="single" w:color="000000" w:sz="4"/>
                    <w:bottom w:val="single" w:color="000000" w:sz="4"/>
                    <w:right w:val="single" w:color="000000" w:sz="4"/>
                  </w:tcBorders>
                  <w:vAlign w:val="top"/>
                </w:tcPr>
                <w:p>
                  <w:pPr>
                    <w:jc w:val="center"/>
                  </w:pPr>
                  <w:r>
                    <w:rPr>
                      <w:sz w:val="21"/>
                    </w:rPr>
                    <w:t>通过专家评审。</w:t>
                  </w:r>
                </w:p>
              </w:tc>
            </w:tr>
            <w:tr>
              <w:tc>
                <w:tcPr>
                  <w:tcW w:type="dxa" w:w="1814"/>
                  <w:tcBorders>
                    <w:top w:val="none" w:color="000000" w:sz="4"/>
                    <w:left w:val="single" w:color="000000" w:sz="4"/>
                    <w:bottom w:val="single" w:color="000000" w:sz="4"/>
                    <w:right w:val="single" w:color="000000" w:sz="4"/>
                  </w:tcBorders>
                  <w:vAlign w:val="top"/>
                </w:tcPr>
                <w:p>
                  <w:pPr>
                    <w:jc w:val="center"/>
                  </w:pPr>
                  <w:r>
                    <w:rPr>
                      <w:sz w:val="21"/>
                    </w:rPr>
                    <w:t>终期成果阶段</w:t>
                  </w:r>
                </w:p>
              </w:tc>
              <w:tc>
                <w:tcPr>
                  <w:tcW w:type="dxa" w:w="1091"/>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2692"/>
                  <w:tcBorders>
                    <w:top w:val="none" w:color="000000" w:sz="4"/>
                    <w:left w:val="single" w:color="000000" w:sz="4"/>
                    <w:bottom w:val="single" w:color="000000" w:sz="4"/>
                    <w:right w:val="single" w:color="000000" w:sz="4"/>
                  </w:tcBorders>
                  <w:vAlign w:val="top"/>
                </w:tcPr>
                <w:p>
                  <w:pPr>
                    <w:jc w:val="center"/>
                  </w:pPr>
                  <w:r>
                    <w:rPr>
                      <w:sz w:val="21"/>
                    </w:rPr>
                    <w:t>深化完善成果，形成最终成果。</w:t>
                  </w:r>
                </w:p>
              </w:tc>
            </w:tr>
          </w:tbl>
        </w:tc>
      </w:tr>
      <w:tr>
        <w:tc>
          <w:tcPr>
            <w:tcW w:type="dxa" w:w="2076"/>
          </w:tcPr>
          <w:p/>
        </w:tc>
        <w:tc>
          <w:tcPr>
            <w:tcW w:type="dxa" w:w="415"/>
          </w:tcPr>
          <w:p>
            <w:r>
              <w:rPr/>
              <w:t>4</w:t>
            </w:r>
          </w:p>
        </w:tc>
        <w:tc>
          <w:tcPr>
            <w:tcW w:type="dxa" w:w="5814"/>
          </w:tcPr>
          <w:p>
            <w:pPr>
              <w:jc w:val="left"/>
            </w:pPr>
            <w:r>
              <w:rPr>
                <w:b/>
                <w:sz w:val="21"/>
              </w:rPr>
              <w:t>四、项目团队成员要求</w:t>
            </w:r>
          </w:p>
          <w:p>
            <w:pPr>
              <w:jc w:val="left"/>
            </w:pPr>
            <w:r>
              <w:rPr>
                <w:sz w:val="21"/>
              </w:rPr>
              <w:t>1.成交供应商应配备与本项目采购内容相对应的人员投入本项目。</w:t>
            </w:r>
          </w:p>
          <w:p>
            <w:pPr>
              <w:jc w:val="left"/>
            </w:pPr>
            <w:r>
              <w:rPr>
                <w:sz w:val="21"/>
              </w:rPr>
              <w:t>2.在项目实施期间，本项目实施人员的更换须经采购人同意。未经采购人同意，成交供应商不得调整在响应文件中所承诺的项目实施人员。</w:t>
            </w:r>
          </w:p>
          <w:p>
            <w:pPr>
              <w:jc w:val="left"/>
            </w:pPr>
            <w:r>
              <w:rPr>
                <w:sz w:val="21"/>
              </w:rPr>
              <w:t>3.对于成交供应商委派的项目实施人员在服务期间因工作原因引起的各种工伤、安全事件和事故责任及费用由成交供应商承担。</w:t>
            </w:r>
          </w:p>
          <w:p>
            <w:pPr>
              <w:jc w:val="left"/>
            </w:pPr>
            <w:r>
              <w:rPr>
                <w:sz w:val="21"/>
              </w:rPr>
              <w:t>4.采购人有权以书面形式要求成交供应商更换不能按规定履行合同的人员。</w:t>
            </w:r>
          </w:p>
          <w:p>
            <w:r>
              <w:rPr>
                <w:sz w:val="21"/>
              </w:rPr>
              <w:t>5.获得采购人要求或同意更换的人员，其代替人员的资质仍应得到采购人的认可，且其资历和经验均不低于被更换人员。由此而产生的一切费用由成交供应商承担。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采购机构代理服务收费标准：差额定率累进法计算方式，参照中华人民共和国国家发展计划委员会颁发的计价格[2002]1980号、国家发改委[2003]857号及发改价格2011534号文规定的“服务类”计算。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采购包1：面向中小企业，以联合体形式预留，预留比例：40.0%。</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编制佛山市城市绿地系统规划（含编制城市生物多样性保护规划）)：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采购包1（编制佛山市城市绿地系统规划（含编制城市生物多样性保护规划））：</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采购包1（编制佛山市城市绿地系统规划（含编制城市生物多样性保护规划））：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如联合体响应的，联合体各方都需提供）</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如联合体响应的，联合体各方都需提供）</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复印件，或响应文件递交截止日前6个月内（不含截止日当月）任意1个月的的财务状况报告复印件，或响应文件递交截止日前6个月内（含截止日当月）基本开户行出具的资信证明复印件。（如联合体响应的，联合体各方都需提供）</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按投标（响应）文件格式填报设备及专业技术能力情况。（如联合体响应的，联合体各方都需提供）</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响应的，联合体各方都需提供）</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联合体响应的，对所有联合体成员进行信用记录查询，联合体成员存在不良信用记录的，视同联合体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如联合体投标的，联合体各方都需提供）</w:t>
            </w:r>
          </w:p>
        </w:tc>
      </w:tr>
      <w:tr>
        <w:tc>
          <w:tcPr>
            <w:tcW w:type="dxa" w:w="890"/>
          </w:tcPr>
          <w:p>
            <w:r>
              <w:rPr/>
              <w:t>8</w:t>
            </w:r>
          </w:p>
        </w:tc>
        <w:tc>
          <w:tcPr>
            <w:tcW w:type="dxa" w:w="3178"/>
          </w:tcPr>
          <w:p>
            <w:r>
              <w:rPr/>
              <w:t>特定资格要求</w:t>
            </w:r>
          </w:p>
        </w:tc>
        <w:tc>
          <w:tcPr>
            <w:tcW w:type="dxa" w:w="4238"/>
          </w:tcPr>
          <w:p>
            <w:r>
              <w:rPr/>
              <w:t>供应商须具备有效的城乡规划编制甲级资质证书（如联合体响应的，联合体牵头方须具备有效的城乡规划编制甲级资质证书）。</w:t>
            </w:r>
          </w:p>
        </w:tc>
      </w:tr>
      <w:tr>
        <w:tc>
          <w:tcPr>
            <w:tcW w:type="dxa" w:w="890"/>
          </w:tcPr>
          <w:p>
            <w:r>
              <w:rPr/>
              <w:t>9</w:t>
            </w:r>
          </w:p>
        </w:tc>
        <w:tc>
          <w:tcPr>
            <w:tcW w:type="dxa" w:w="3178"/>
          </w:tcPr>
          <w:p>
            <w:r>
              <w:rPr/>
              <w:t>本采购包接受联合体响应</w:t>
            </w:r>
          </w:p>
        </w:tc>
        <w:tc>
          <w:tcPr>
            <w:tcW w:type="dxa" w:w="4238"/>
          </w:tcPr>
          <w:p>
            <w:r>
              <w:rPr/>
              <w:t>如是联合体响应的，联合体最多由两家单位（已含牵头单位及成员单位）组成，须提供《联合体共同响应协议书》。</w:t>
            </w:r>
          </w:p>
        </w:tc>
      </w:tr>
      <w:tr>
        <w:tc>
          <w:tcPr>
            <w:tcW w:type="dxa" w:w="890"/>
          </w:tcPr>
          <w:p>
            <w:r>
              <w:rPr/>
              <w:t>10</w:t>
            </w:r>
          </w:p>
        </w:tc>
        <w:tc>
          <w:tcPr>
            <w:tcW w:type="dxa" w:w="3178"/>
          </w:tcPr>
          <w:p>
            <w:r>
              <w:rPr/>
              <w:t>本采购包专门面向中小企业采购</w:t>
            </w:r>
          </w:p>
        </w:tc>
        <w:tc>
          <w:tcPr>
            <w:tcW w:type="dxa" w:w="4238"/>
          </w:tcPr>
          <w:p>
            <w:r>
              <w:rPr/>
              <w:t>采购包属于预留采购份额给中小企业采购的项目，中小企业预留份额不低于40%，如供应商不属于中小企业，必须与中小企业组成联合体形式参加政府采购活动，且提供《联合体共同响应协议书》和中小企业的《中小企业声明函》（监狱企业、残疾人福利单位视同小型、微型企业），《联合体共同响应协议书》中中小企业合同金额所占比例不低于40%；如果供应商本身属于中小企业，视同符合本条要求，无须再与其他中小企业组成联合体参加本政府采购活动。本项目行业为：其他未列明行业。中小企业以供应商填写的《中小企业声明函》【见响应文件格式与要求】为判定标准，残疾人福利性单位以供应商填写的《残疾人福利性单位声明函》【见响应文件格式与要求】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采购包1（编制佛山市城市绿地系统规划（含编制城市生物多样性保护规划））：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采购包1(编制佛山市城市绿地系统规划（含编制城市生物多样性保护规划）):</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响应供应商参加本项目的优势与有利条件 (10.0分)</w:t>
            </w:r>
            <w:r>
              <w:rPr/>
              <w:t>，（等次分值选择：</w:t>
            </w:r>
            <w:r>
              <w:rPr/>
              <w:t>0.0;</w:t>
            </w:r>
            <w:r>
              <w:rPr/>
              <w:t>3.0;</w:t>
            </w:r>
            <w:r>
              <w:rPr/>
              <w:t>6.0;</w:t>
            </w:r>
            <w:r>
              <w:rPr/>
              <w:t>10.0;</w:t>
            </w:r>
            <w:r>
              <w:rPr/>
              <w:t>）</w:t>
            </w:r>
          </w:p>
        </w:tc>
        <w:tc>
          <w:tcPr>
            <w:tcW w:type="dxa" w:w="5076"/>
          </w:tcPr>
          <w:p>
            <w:pPr>
              <w:jc w:val="left"/>
            </w:pPr>
            <w:r>
              <w:rPr/>
              <w:t>对响应供应商参加本项目的优势与有利条件进行评审： 1、熟悉佛山市及佛山市各区国土空间规划、自然生态文明规划、绿地系统规划、城市绿线规划及管理情况的，得10分； 2、基本熟悉佛山市及佛山市各区国土空间规划、自然生态文明规划、绿地系统规划、城市绿线规划及管理情况的，得6分； 3、对佛山市及佛山市各区国土空间规划、自然生态文明规划、绿地系统规划、城市绿线规划及管理情况不太熟悉的，得3分； 4、不提供或其他情况不得分。</w:t>
            </w:r>
          </w:p>
        </w:tc>
      </w:tr>
      <w:tr>
        <w:tc>
          <w:tcPr>
            <w:tcW w:type="dxa" w:w="922"/>
            <w:gridSpan w:val="2"/>
            <w:vMerge/>
          </w:tcPr>
          <w:p/>
        </w:tc>
        <w:tc>
          <w:tcPr>
            <w:tcW w:type="dxa" w:w="2307"/>
          </w:tcPr>
          <w:p>
            <w:pPr>
              <w:jc w:val="left"/>
            </w:pPr>
            <w:r>
              <w:rPr/>
              <w:t>对本项目编制背景、现状绿地分布情况、生物多样性保护现状了解的深度、针对性及准确性 (8.0分)</w:t>
            </w:r>
            <w:r>
              <w:rPr/>
              <w:t>，（等次分值选择：</w:t>
            </w:r>
            <w:r>
              <w:rPr/>
              <w:t>0.0;</w:t>
            </w:r>
            <w:r>
              <w:rPr/>
              <w:t>1.0;</w:t>
            </w:r>
            <w:r>
              <w:rPr/>
              <w:t>4.0;</w:t>
            </w:r>
            <w:r>
              <w:rPr/>
              <w:t>8.0;</w:t>
            </w:r>
            <w:r>
              <w:rPr/>
              <w:t>）</w:t>
            </w:r>
          </w:p>
        </w:tc>
        <w:tc>
          <w:tcPr>
            <w:tcW w:type="dxa" w:w="5076"/>
          </w:tcPr>
          <w:p>
            <w:pPr>
              <w:jc w:val="left"/>
            </w:pPr>
            <w:r>
              <w:rPr/>
              <w:t>根据响应供应商对项目编制背景、对佛山市现状绿地分布情况、生物多样性保护现状了解的深度、针对性及准确性进行评审： 1、响应供应商对项目编制背景了解、对佛山市现状绿地分布情况、生物多样性保护现状相当熟悉和理解程度深入，针对性及准确性强的，得8分； 2、响应供应商对项目编制背景基本了解、对佛山市现状绿地分布情况、生物多样性保护现状熟悉和理解程度较深入，针对性及准确性较强的，得4分； 3、响应供应商对项目编制背景了解不足、对佛山市绿地分布情况、生物多样性保护现状不熟悉，针对性及准确较差的，得1分。 4、不提供或其他情况不得分。</w:t>
            </w:r>
          </w:p>
        </w:tc>
      </w:tr>
      <w:tr>
        <w:tc>
          <w:tcPr>
            <w:tcW w:type="dxa" w:w="922"/>
            <w:gridSpan w:val="2"/>
            <w:vMerge/>
          </w:tcPr>
          <w:p/>
        </w:tc>
        <w:tc>
          <w:tcPr>
            <w:tcW w:type="dxa" w:w="2307"/>
          </w:tcPr>
          <w:p>
            <w:pPr>
              <w:jc w:val="left"/>
            </w:pPr>
            <w:r>
              <w:rPr/>
              <w:t>项目重点难点把握 (4.0分)</w:t>
            </w:r>
            <w:r>
              <w:rPr/>
              <w:t>，（等次分值选择：</w:t>
            </w:r>
            <w:r>
              <w:rPr/>
              <w:t>0.0;</w:t>
            </w:r>
            <w:r>
              <w:rPr/>
              <w:t>1.0;</w:t>
            </w:r>
            <w:r>
              <w:rPr/>
              <w:t>2.0;</w:t>
            </w:r>
            <w:r>
              <w:rPr/>
              <w:t>4.0;</w:t>
            </w:r>
            <w:r>
              <w:rPr/>
              <w:t>）</w:t>
            </w:r>
          </w:p>
        </w:tc>
        <w:tc>
          <w:tcPr>
            <w:tcW w:type="dxa" w:w="5076"/>
          </w:tcPr>
          <w:p>
            <w:pPr>
              <w:jc w:val="left"/>
            </w:pPr>
            <w:r>
              <w:rPr/>
              <w:t>根据响应供应商对项目重点难点把握进行评审： 1、对项目意义与重难点认识深刻、见解独到的，得4分； 2、对项目意义与重难点认识较为深刻、见解较为独到的，得2分； 3、对项目意义与重难点认识与见解较差的，得1分； 4、不提供或其他情况不得分。</w:t>
            </w:r>
          </w:p>
        </w:tc>
      </w:tr>
      <w:tr>
        <w:tc>
          <w:tcPr>
            <w:tcW w:type="dxa" w:w="922"/>
            <w:gridSpan w:val="2"/>
            <w:vMerge/>
          </w:tcPr>
          <w:p/>
        </w:tc>
        <w:tc>
          <w:tcPr>
            <w:tcW w:type="dxa" w:w="2307"/>
          </w:tcPr>
          <w:p>
            <w:pPr>
              <w:jc w:val="left"/>
            </w:pPr>
            <w:r>
              <w:rPr/>
              <w:t>规划方案 (10.0分)</w:t>
            </w:r>
            <w:r>
              <w:rPr/>
              <w:t>，（等次分值选择：</w:t>
            </w:r>
            <w:r>
              <w:rPr/>
              <w:t>0.0;</w:t>
            </w:r>
            <w:r>
              <w:rPr/>
              <w:t>3.0;</w:t>
            </w:r>
            <w:r>
              <w:rPr/>
              <w:t>6.0;</w:t>
            </w:r>
            <w:r>
              <w:rPr/>
              <w:t>10.0;</w:t>
            </w:r>
            <w:r>
              <w:rPr/>
              <w:t>）</w:t>
            </w:r>
          </w:p>
        </w:tc>
        <w:tc>
          <w:tcPr>
            <w:tcW w:type="dxa" w:w="5076"/>
          </w:tcPr>
          <w:p>
            <w:pPr>
              <w:jc w:val="left"/>
            </w:pPr>
            <w:r>
              <w:rPr/>
              <w:t>根据响应供应商提供的规划方案进行评审： 1、规划方案全面、内容合理、可操作性强，总体情况好的，得10分； 2、规划方案较为全面、内容合理、可操作性较强，总体情况较好的，得6分； 3、规划方案不够全面、内容不够合理、可操作性弱，总体情况较差的，得3分； 4、不提供或其他情况不得分。</w:t>
            </w:r>
          </w:p>
        </w:tc>
      </w:tr>
      <w:tr>
        <w:tc>
          <w:tcPr>
            <w:tcW w:type="dxa" w:w="922"/>
            <w:gridSpan w:val="2"/>
            <w:vMerge/>
          </w:tcPr>
          <w:p/>
        </w:tc>
        <w:tc>
          <w:tcPr>
            <w:tcW w:type="dxa" w:w="2307"/>
          </w:tcPr>
          <w:p>
            <w:pPr>
              <w:jc w:val="left"/>
            </w:pPr>
            <w:r>
              <w:rPr/>
              <w:t>项目组织实施方案 (4.0分)</w:t>
            </w:r>
            <w:r>
              <w:rPr/>
              <w:t>，（等次分值选择：</w:t>
            </w:r>
            <w:r>
              <w:rPr/>
              <w:t>0.0;</w:t>
            </w:r>
            <w:r>
              <w:rPr/>
              <w:t>1.0;</w:t>
            </w:r>
            <w:r>
              <w:rPr/>
              <w:t>2.0;</w:t>
            </w:r>
            <w:r>
              <w:rPr/>
              <w:t>4.0;</w:t>
            </w:r>
            <w:r>
              <w:rPr/>
              <w:t>）</w:t>
            </w:r>
          </w:p>
        </w:tc>
        <w:tc>
          <w:tcPr>
            <w:tcW w:type="dxa" w:w="5076"/>
          </w:tcPr>
          <w:p>
            <w:pPr>
              <w:jc w:val="left"/>
            </w:pPr>
            <w:r>
              <w:rPr/>
              <w:t>根据响应供应商提供的项目组织实施方案进行评审： 1、响应供应商提供的方案内项目组织机构健全，职责分明，人员配备合理；专人咨询服务的工作内容明确；安全保密制度、例会制度、定期阶段性汇报制度完善；工作进度符合采购需求的，得4分； 2、响应供应商提供的方案内项目组织机构基本完整，人员配备比较合理；专人咨询服务的工作内容基本明确；安全保密制度、例会制度、定期阶段性汇报制度基本完整；工作进度基本符合采购需求的，得2分； 3、响应供应商提供的方案内项目组织机构不完整，人员配备不合理；专人咨询服务的工作内容不明确；安全保密制度、例会制度、定期阶段性汇报制度不完整；工作进度不太符合采购需求的，得1分； 4、不提供或其他情况不得分。</w:t>
            </w:r>
          </w:p>
        </w:tc>
      </w:tr>
      <w:tr>
        <w:tc>
          <w:tcPr>
            <w:tcW w:type="dxa" w:w="922"/>
            <w:gridSpan w:val="2"/>
            <w:vMerge/>
          </w:tcPr>
          <w:p/>
        </w:tc>
        <w:tc>
          <w:tcPr>
            <w:tcW w:type="dxa" w:w="2307"/>
          </w:tcPr>
          <w:p>
            <w:pPr>
              <w:jc w:val="left"/>
            </w:pPr>
            <w:r>
              <w:rPr/>
              <w:t>项目质量保障 (4.0分)</w:t>
            </w:r>
            <w:r>
              <w:rPr/>
              <w:t>，（等次分值选择：</w:t>
            </w:r>
            <w:r>
              <w:rPr/>
              <w:t>0.0;</w:t>
            </w:r>
            <w:r>
              <w:rPr/>
              <w:t>1.0;</w:t>
            </w:r>
            <w:r>
              <w:rPr/>
              <w:t>2.0;</w:t>
            </w:r>
            <w:r>
              <w:rPr/>
              <w:t>4.0;</w:t>
            </w:r>
            <w:r>
              <w:rPr/>
              <w:t>）</w:t>
            </w:r>
          </w:p>
        </w:tc>
        <w:tc>
          <w:tcPr>
            <w:tcW w:type="dxa" w:w="5076"/>
          </w:tcPr>
          <w:p>
            <w:pPr>
              <w:jc w:val="left"/>
            </w:pPr>
            <w:r>
              <w:rPr/>
              <w:t>根据响应供应商提供的质量保障方案进行评审： 1、响应供应商提供的质量保证措施全面、得力；能充分利用自身资源及相关技术手段保证成果质量要求的，得4分； 2、响应供应商提供的质量保证措施基本完整；能利用自身资源及相关技术手段保证成果质量要求的，得2分； 3、响应供应商提供的质量保证措施不完整；不太能利用自身资源及相关技术手段保证成果质量要求的，得1分； 4、不提供方案不得分。</w:t>
            </w:r>
          </w:p>
        </w:tc>
      </w:tr>
      <w:tr>
        <w:tc>
          <w:tcPr>
            <w:tcW w:type="dxa" w:w="922"/>
            <w:gridSpan w:val="2"/>
            <w:vMerge w:val="restart"/>
          </w:tcPr>
          <w:p>
            <w:pPr>
              <w:jc w:val="center"/>
            </w:pPr>
            <w:r>
              <w:rPr/>
              <w:t>商务部分</w:t>
            </w:r>
          </w:p>
        </w:tc>
        <w:tc>
          <w:tcPr>
            <w:tcW w:type="dxa" w:w="2307"/>
          </w:tcPr>
          <w:p>
            <w:pPr>
              <w:jc w:val="left"/>
            </w:pPr>
            <w:r>
              <w:rPr/>
              <w:t>体系认证证书 (3.0分)</w:t>
            </w:r>
          </w:p>
        </w:tc>
        <w:tc>
          <w:tcPr>
            <w:tcW w:type="dxa" w:w="5076"/>
          </w:tcPr>
          <w:p>
            <w:pPr>
              <w:jc w:val="left"/>
            </w:pPr>
            <w:r>
              <w:rPr/>
              <w:t>响应供应商具有有效的质量管理体系认证证书、职业健康安全管理体系认证证书、环境管理体系认证证书的，每提供一个得1分，最高得3分。 注：须提供证书扫描件加盖响应供应商公章，不符合或不提供不得分。</w:t>
            </w:r>
          </w:p>
        </w:tc>
      </w:tr>
      <w:tr>
        <w:tc>
          <w:tcPr>
            <w:tcW w:type="dxa" w:w="922"/>
            <w:gridSpan w:val="2"/>
            <w:vMerge/>
          </w:tcPr>
          <w:p/>
        </w:tc>
        <w:tc>
          <w:tcPr>
            <w:tcW w:type="dxa" w:w="2307"/>
          </w:tcPr>
          <w:p>
            <w:pPr>
              <w:jc w:val="left"/>
            </w:pPr>
            <w:r>
              <w:rPr/>
              <w:t>同类项目业绩 (21.0分)</w:t>
            </w:r>
          </w:p>
        </w:tc>
        <w:tc>
          <w:tcPr>
            <w:tcW w:type="dxa" w:w="5076"/>
          </w:tcPr>
          <w:p>
            <w:pPr>
              <w:jc w:val="left"/>
            </w:pPr>
            <w:r>
              <w:rPr/>
              <w:t>2018年1月1日至今（以合同签订日期为准），响应供应商承接过以下业绩的，按对应情况进行评审： 1、响应供应商承担过绿地系统规划、绿地系统整合规划、绿地规划动态维护类项目，每提供1项得3分（每种类型只计算一项得分），本小项累计最高得9分。 2、响应供应商承担过自然生态文明规划类、公园总体规划类、公园建设规划类、园林绿道规划类、国土空间规划类、生物、多样性保护规划类项目，每提供1项得2分，本小项累计最高得12分。 本项最高得21分。 注：同一项目不重复得分，若同一份合同具有以上的多项内容，则按最高分项计算；须提供项目合同扫描件加盖响应供应商公章，不符合或不提供不得分。</w:t>
            </w:r>
          </w:p>
        </w:tc>
      </w:tr>
      <w:tr>
        <w:tc>
          <w:tcPr>
            <w:tcW w:type="dxa" w:w="922"/>
            <w:gridSpan w:val="2"/>
            <w:vMerge/>
          </w:tcPr>
          <w:p/>
        </w:tc>
        <w:tc>
          <w:tcPr>
            <w:tcW w:type="dxa" w:w="2307"/>
          </w:tcPr>
          <w:p>
            <w:pPr>
              <w:jc w:val="left"/>
            </w:pPr>
            <w:r>
              <w:rPr/>
              <w:t>拟投入项目负责人 (12.0分)</w:t>
            </w:r>
          </w:p>
        </w:tc>
        <w:tc>
          <w:tcPr>
            <w:tcW w:type="dxa" w:w="5076"/>
          </w:tcPr>
          <w:p>
            <w:pPr>
              <w:jc w:val="left"/>
            </w:pPr>
            <w:r>
              <w:rPr/>
              <w:t>1、拟投入项目负责人（一人）： ①具有规划类中级职称的，得1分；具有规划类高级或以上职称的，得2分；  ②具有注册城市（乡）规划师资格证书的，得2分； ③具有一级注册建筑师资格证书的，得2分。 本小项最高得6分。 注：须提供人员的相关证书扫描件及响应供应商为其缴纳的近半年（含提交响应文件截止时间当月）任意1个月的社保证明扫描件加盖响应供应商公章，不符合或不提供不得分。 2、拟投入项目负责人（一人）2018年1月1日至今（以获奖时间为准）获得的由行政主管部门或行业协会颁发荣誉：参与的总体规划或绿地系统规划或公园建设规划或绿道建设规划类项目获得优秀规划设计类奖的，每提供一个获奖得2分（每种类型只计算一项得分）；本小项最高得6分。 注：1、须提供获奖证书或证明文件扫描件及响应供应商为其缴纳的近半年（含提交响应文件截止时间当月）任意1个月的社保证明扫描件加盖响应供应商公章，不符合或不提供不得分。 2、须提供获奖证书或证明文件复印件，奖项必须由行政主管部门或行业协会颁发。 3、响应供应商为联合体单位，以联合体牵头方提供的资料方可得分。</w:t>
            </w:r>
          </w:p>
        </w:tc>
      </w:tr>
      <w:tr>
        <w:tc>
          <w:tcPr>
            <w:tcW w:type="dxa" w:w="922"/>
            <w:gridSpan w:val="2"/>
            <w:vMerge/>
          </w:tcPr>
          <w:p/>
        </w:tc>
        <w:tc>
          <w:tcPr>
            <w:tcW w:type="dxa" w:w="2307"/>
          </w:tcPr>
          <w:p>
            <w:pPr>
              <w:jc w:val="left"/>
            </w:pPr>
            <w:r>
              <w:rPr/>
              <w:t>拟投入其他人员情况 (10.0分)</w:t>
            </w:r>
          </w:p>
        </w:tc>
        <w:tc>
          <w:tcPr>
            <w:tcW w:type="dxa" w:w="5076"/>
          </w:tcPr>
          <w:p>
            <w:pPr>
              <w:jc w:val="left"/>
            </w:pPr>
            <w:r>
              <w:rPr/>
              <w:t>拟投入其他人员情况（除项目负责人外）： 1、同时具有规划类正高级职称及注册城市（乡）市规划师资格证的，每提供1人得1分，同时具有规划类高级职称及注册城市（乡）规划师资格证的，每提供1人得0.5分，本小项累计最高得4分； 2、同时具有测绘（测量）类专业高级或以上职称及注册测绘师资格证的，每提供1人得1分，本小项最高得3分； 3、具有园林类专业高级或以上职称资格证的，每提供1人得1分，本小项最高得3分； 本项最高得10分。 注：1、每个小项人员不能重复，同一人具有多个专业的取其中一个小项计算得分； 2、须提供上述人员的相关证书证明材料扫描件及响应供应商为其缴纳的近半年（含提交响应文件截止时间当月）任意1个月的社保证明扫描件加盖响应供应商公章，不符合或不提供不得分。</w:t>
            </w:r>
          </w:p>
        </w:tc>
      </w:tr>
      <w:tr>
        <w:tc>
          <w:tcPr>
            <w:tcW w:type="dxa" w:w="922"/>
            <w:gridSpan w:val="2"/>
            <w:vMerge/>
          </w:tcPr>
          <w:p/>
        </w:tc>
        <w:tc>
          <w:tcPr>
            <w:tcW w:type="dxa" w:w="2307"/>
          </w:tcPr>
          <w:p>
            <w:pPr>
              <w:jc w:val="left"/>
            </w:pPr>
            <w:r>
              <w:rPr/>
              <w:t>服务便捷程度 (4.0分)</w:t>
            </w:r>
          </w:p>
        </w:tc>
        <w:tc>
          <w:tcPr>
            <w:tcW w:type="dxa" w:w="5076"/>
          </w:tcPr>
          <w:p>
            <w:pPr>
              <w:jc w:val="left"/>
            </w:pPr>
            <w:r>
              <w:rPr/>
              <w:t>根据各响应供应商的服务便利性进行评审： 1、提供现场服务响应时间≤60分钟的，得4分； 2、60分钟＜提供现场服务响应时间≤120分钟的，得2分； 3、120 分钟＜提供现场服务响应时间≤180 分钟的，得1分； 4、无提供或提供现场服务响应时间＞180 分钟的，不得分。 注：1.以响应供应商服务点详细地址至采购人地点（佛山市禅城区人民路98号）的第三方地图最短驾车时间作为评审依据。 2.须提供①响应供应商服务点到采购人地址的最短驾车时间第三方地图查询截图加盖响应供应商公章【截图资料内应包含起止地点名称、车程距离、驾车时间及查询时间等信息，查询时间应在正常的工作时间范围内（上午 8：30-下午 5：30】和②自有或租赁的服务点证明材料（可提供在有效期内的营业执照或事业单位法人登记证或房产证或租赁合同或合作协议扫描件加盖响应供应商公章作为证明材料）。不提供或提供的材料不符合上述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备注：投标报价得分四舍五入后，小数点后保留两位有效数。</w:t>
            </w:r>
          </w:p>
        </w:tc>
      </w:tr>
    </w:tbl>
    <w:p/>
    <w:p>
      <w:r>
        <w:rPr>
          <w:b/>
          <w:sz w:val="24"/>
        </w:rPr>
        <w:t>6.汇总、排序</w:t>
      </w:r>
    </w:p>
    <w:p>
      <w:pPr>
        <w:ind w:firstLine="480"/>
      </w:pPr>
    </w:p>
    <w:p/>
    <w:p>
      <w:r>
        <w:rPr/>
        <w:t>采购包1：</w:t>
      </w:r>
    </w:p>
    <w:p/>
    <w:p>
      <w:r>
        <w:rPr/>
        <w:t>1.联合体投标的，商务部分的上述所有评审内容依据联合体任一方或各方（除备注有另行要求外）提供有效文件作为评审依据。 2.（1）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r>
        <w:rPr>
          <w:color w:val="000000"/>
          <w:sz w:val="68"/>
        </w:rPr>
        <w:t>佛山市政府采购项目</w:t>
      </w:r>
    </w:p>
    <w:p>
      <w:pPr>
        <w:jc w:val="center"/>
      </w:pPr>
    </w:p>
    <w:p>
      <w:pPr>
        <w:jc w:val="center"/>
      </w:pPr>
      <w:r>
        <w:rPr>
          <w:color w:val="000000"/>
          <w:sz w:val="68"/>
        </w:rPr>
        <w:t>合 同 书</w:t>
      </w:r>
    </w:p>
    <w:p>
      <w:pPr>
        <w:jc w:val="center"/>
      </w:pPr>
      <w:r>
        <w:rPr/>
        <w:t xml:space="preserve"> </w:t>
      </w:r>
    </w:p>
    <w:p>
      <w:pPr>
        <w:jc w:val="center"/>
      </w:pPr>
    </w:p>
    <w:p>
      <w:pPr>
        <w:jc w:val="center"/>
      </w:pPr>
    </w:p>
    <w:p>
      <w:pPr>
        <w:jc w:val="center"/>
      </w:pPr>
    </w:p>
    <w:p>
      <w:pPr>
        <w:jc w:val="center"/>
      </w:pPr>
    </w:p>
    <w:p>
      <w:pPr>
        <w:ind w:firstLine="2409"/>
      </w:pPr>
      <w:r>
        <w:rPr>
          <w:b/>
          <w:color w:val="000000"/>
          <w:sz w:val="24"/>
        </w:rPr>
        <w:t xml:space="preserve">            </w:t>
      </w:r>
      <w:r>
        <w:rPr>
          <w:b/>
        </w:rPr>
        <w:t xml:space="preserve">             </w:t>
      </w:r>
    </w:p>
    <w:p>
      <w:pPr>
        <w:ind w:firstLine="2409"/>
        <w:jc w:val="center"/>
      </w:pPr>
      <w:r>
        <w:rPr>
          <w:b/>
          <w:color w:val="000000"/>
          <w:sz w:val="24"/>
        </w:rPr>
        <w:t>项目编号：</w:t>
      </w:r>
      <w:r>
        <w:rPr>
          <w:b/>
          <w:color w:val="000000"/>
          <w:sz w:val="24"/>
          <w:u w:val="single"/>
        </w:rPr>
        <w:t xml:space="preserve">               </w:t>
      </w:r>
      <w:r>
        <w:rPr>
          <w:b/>
          <w:color w:val="000000"/>
          <w:sz w:val="24"/>
        </w:rPr>
        <w:t xml:space="preserve">             </w:t>
      </w:r>
    </w:p>
    <w:p>
      <w:pPr>
        <w:ind w:firstLine="2409"/>
        <w:jc w:val="center"/>
      </w:pPr>
      <w:r>
        <w:rPr>
          <w:b/>
          <w:color w:val="000000"/>
          <w:sz w:val="24"/>
        </w:rPr>
        <w:t>项目名称：</w:t>
      </w:r>
      <w:r>
        <w:rPr>
          <w:b/>
          <w:color w:val="000000"/>
          <w:sz w:val="24"/>
          <w:u w:val="single"/>
        </w:rPr>
        <w:t xml:space="preserve">               </w:t>
      </w:r>
      <w:r>
        <w:rPr>
          <w:b/>
          <w:color w:val="000000"/>
          <w:sz w:val="24"/>
        </w:rPr>
        <w:t xml:space="preserve">            </w:t>
      </w:r>
    </w:p>
    <w:p>
      <w:pPr>
        <w:ind w:firstLine="2409"/>
      </w:pPr>
      <w:r>
        <w:rPr/>
        <w:t xml:space="preserve"> </w:t>
      </w:r>
    </w:p>
    <w:p>
      <w:pPr>
        <w:jc w:val="center"/>
      </w:pPr>
    </w:p>
    <w:p>
      <w:pPr>
        <w:jc w:val="center"/>
      </w:pPr>
    </w:p>
    <w:p>
      <w:pPr>
        <w:jc w:val="center"/>
      </w:pPr>
    </w:p>
    <w:p>
      <w:pPr>
        <w:jc w:val="center"/>
      </w:pPr>
      <w:r>
        <w:rPr>
          <w:b/>
          <w:color w:val="000000"/>
          <w:sz w:val="24"/>
        </w:rPr>
        <w:t>甲    方：</w:t>
      </w:r>
      <w:r>
        <w:rPr>
          <w:b/>
          <w:color w:val="000000"/>
          <w:sz w:val="24"/>
          <w:u w:val="single"/>
        </w:rPr>
        <w:t xml:space="preserve">       采购人名称                  </w:t>
      </w:r>
    </w:p>
    <w:p>
      <w:pPr>
        <w:jc w:val="center"/>
      </w:pPr>
      <w:r>
        <w:rPr>
          <w:b/>
          <w:color w:val="000000"/>
          <w:sz w:val="24"/>
        </w:rPr>
        <w:t xml:space="preserve">乙    方： </w:t>
      </w:r>
      <w:r>
        <w:rPr>
          <w:b/>
          <w:color w:val="000000"/>
          <w:sz w:val="24"/>
          <w:u w:val="single"/>
        </w:rPr>
        <w:t xml:space="preserve"> （中标/成交供应商名称）       </w:t>
      </w:r>
    </w:p>
    <w:p>
      <w:pPr>
        <w:jc w:val="center"/>
      </w:pPr>
      <w:r>
        <w:rPr>
          <w:b/>
          <w:color w:val="000000"/>
          <w:sz w:val="24"/>
        </w:rPr>
        <w:t>签订日期：</w:t>
      </w:r>
      <w:r>
        <w:rPr>
          <w:b/>
          <w:color w:val="000000"/>
          <w:sz w:val="24"/>
          <w:u w:val="single"/>
        </w:rPr>
        <w:t xml:space="preserve">       年           月         日   </w:t>
      </w:r>
    </w:p>
    <w:p>
      <w:r>
        <w:rPr/>
        <w:t xml:space="preserve"> </w:t>
      </w:r>
    </w:p>
    <w:p>
      <w:r>
        <w:rPr/>
        <w:t xml:space="preserve"> </w:t>
      </w:r>
    </w:p>
    <w:p>
      <w:r>
        <w:rPr/>
        <w:t xml:space="preserve"> </w:t>
      </w:r>
    </w:p>
    <w:p>
      <w:r>
        <w:rPr/>
        <w:t xml:space="preserve"> </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    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（采购人名称）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    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（中标/成交供应商）                                 </w:t>
            </w:r>
          </w:p>
        </w:tc>
      </w:tr>
    </w:tbl>
    <w:p>
      <w:r>
        <w:rPr/>
        <w:t>根据《中华人民共和国政府采购法》、《中华人民共和国民法典》和本项目竞争性磋商文件的要求，经双方协商，本着平等互利和诚实信用的原则，一致同意签订本合同如下。</w:t>
      </w:r>
      <w:r>
        <w:br/>
      </w:r>
      <w:r>
        <w:rPr/>
        <w:t>一、项目主要内容及实现功能目标：</w:t>
      </w:r>
      <w:r>
        <w:br/>
      </w:r>
      <w:r>
        <w:rPr/>
        <w:t>（按照竞争性磋商文件和投标/响应文件执行）</w:t>
      </w:r>
      <w:r>
        <w:br/>
      </w:r>
      <w:r>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  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  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w:t>
            </w:r>
            <w:r>
              <w:rPr>
                <w:color w:val="000000"/>
                <w:sz w:val="21"/>
              </w:rPr>
              <w:t>1）</w:t>
            </w:r>
            <w:r>
              <w:rPr>
                <w:color w:val="000000"/>
                <w:sz w:val="21"/>
              </w:rPr>
              <w:t>合同总额</w:t>
            </w:r>
            <w:r>
              <w:rPr>
                <w:sz w:val="21"/>
              </w:rPr>
              <w:t>包括但不限于</w:t>
            </w:r>
            <w:r>
              <w:rPr>
                <w:sz w:val="21"/>
              </w:rPr>
              <w:t>项目编制费用、研究费用、策划费用、专家评审费用、资料收集、成果制作、文档和图件打印装订费用、雇员费用、税费、合理利润、风险费用及合同实施过程中的应预见和不可预见等一切费用。</w:t>
            </w:r>
          </w:p>
          <w:p>
            <w:r>
              <w:rPr>
                <w:color w:val="000000"/>
                <w:sz w:val="21"/>
              </w:rPr>
              <w:t>（</w:t>
            </w:r>
            <w:r>
              <w:rPr>
                <w:color w:val="000000"/>
                <w:sz w:val="21"/>
              </w:rPr>
              <w:t>2）</w:t>
            </w:r>
            <w:r>
              <w:rPr>
                <w:color w:val="000000"/>
                <w:sz w:val="21"/>
              </w:rPr>
              <w:t>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color w:val="000000"/>
                <w:sz w:val="21"/>
              </w:rPr>
              <w:t>佛山市</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合同生效后提供___年服务，即从</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98"/>
            <w:tcBorders>
              <w:top w:val="none" w:color="000000" w:sz="4"/>
              <w:left w:val="none" w:color="000000" w:sz="4"/>
              <w:bottom w:val="single" w:color="000000" w:sz="4"/>
              <w:right w:val="single" w:color="000000" w:sz="4"/>
            </w:tcBorders>
            <w:vAlign w:val="top"/>
          </w:tcPr>
          <w:p>
            <w:pPr>
              <w:ind w:firstLine="420"/>
            </w:pPr>
            <w:r>
              <w:rPr>
                <w:sz w:val="21"/>
              </w:rPr>
              <w:t>由</w:t>
            </w:r>
            <w:r>
              <w:rPr>
                <w:sz w:val="21"/>
              </w:rPr>
              <w:t>甲方</w:t>
            </w:r>
            <w:r>
              <w:rPr>
                <w:sz w:val="21"/>
              </w:rPr>
              <w:t>按</w:t>
            </w:r>
            <w:r>
              <w:rPr>
                <w:sz w:val="21"/>
              </w:rPr>
              <w:t>下列程序付款：</w:t>
            </w:r>
            <w:r>
              <w:rPr>
                <w:sz w:val="21"/>
              </w:rPr>
              <w:t xml:space="preserve"> </w:t>
            </w:r>
          </w:p>
          <w:p>
            <w:r>
              <w:rPr>
                <w:sz w:val="21"/>
              </w:rPr>
              <w:t>（</w:t>
            </w:r>
            <w:r>
              <w:rPr>
                <w:sz w:val="21"/>
              </w:rPr>
              <w:t>1）</w:t>
            </w:r>
            <w:r>
              <w:rPr>
                <w:sz w:val="21"/>
              </w:rPr>
              <w:t>预付</w:t>
            </w:r>
            <w:r>
              <w:rPr>
                <w:sz w:val="21"/>
              </w:rPr>
              <w:t>款：签订合同后</w:t>
            </w:r>
            <w:r>
              <w:rPr>
                <w:sz w:val="21"/>
              </w:rPr>
              <w:t>5</w:t>
            </w:r>
            <w:r>
              <w:rPr>
                <w:sz w:val="21"/>
              </w:rPr>
              <w:t>个工作日内，支付合同总额的</w:t>
            </w:r>
            <w:r>
              <w:rPr>
                <w:sz w:val="21"/>
              </w:rPr>
              <w:t>30</w:t>
            </w:r>
            <w:r>
              <w:rPr>
                <w:sz w:val="21"/>
              </w:rPr>
              <w:t>%。</w:t>
            </w:r>
          </w:p>
          <w:p>
            <w:r>
              <w:rPr>
                <w:sz w:val="21"/>
              </w:rPr>
              <w:t>（2）完成专家评审并经甲方确认后10日内，支付合同总额的40%。</w:t>
            </w:r>
          </w:p>
          <w:p>
            <w:r>
              <w:rPr>
                <w:sz w:val="21"/>
              </w:rPr>
              <w:t>（3）完成最终成果并经甲方验收确认后10日内，支付合同总额的30%。</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r>
              <w:rPr>
                <w:sz w:val="21"/>
              </w:rPr>
              <w:t>（1）</w:t>
            </w:r>
            <w:r>
              <w:rPr>
                <w:sz w:val="21"/>
              </w:rPr>
              <w:t>合同；</w:t>
            </w:r>
          </w:p>
          <w:p>
            <w:r>
              <w:rPr>
                <w:sz w:val="21"/>
              </w:rPr>
              <w:t>（2）</w:t>
            </w:r>
            <w:r>
              <w:rPr>
                <w:sz w:val="21"/>
              </w:rPr>
              <w:t>乙方</w:t>
            </w:r>
            <w:r>
              <w:rPr>
                <w:sz w:val="21"/>
              </w:rPr>
              <w:t>开具的正式发票；</w:t>
            </w:r>
          </w:p>
          <w:p>
            <w:r>
              <w:rPr>
                <w:sz w:val="21"/>
              </w:rPr>
              <w:t>（3）支付条款要求的阶段性成果</w:t>
            </w:r>
            <w:r>
              <w:rPr>
                <w:sz w:val="21"/>
              </w:rPr>
              <w:t>（</w:t>
            </w:r>
            <w:r>
              <w:rPr>
                <w:sz w:val="21"/>
              </w:rPr>
              <w:t>第二笔款项与第三笔款项支付时提供</w:t>
            </w:r>
            <w:r>
              <w:rPr>
                <w:sz w:val="21"/>
              </w:rPr>
              <w:t>）</w:t>
            </w:r>
            <w:r>
              <w:rPr>
                <w:sz w:val="21"/>
              </w:rPr>
              <w:t>；</w:t>
            </w:r>
          </w:p>
          <w:p>
            <w:r>
              <w:rPr>
                <w:sz w:val="21"/>
              </w:rPr>
              <w:t>（4）成交</w:t>
            </w:r>
            <w:r>
              <w:rPr>
                <w:sz w:val="21"/>
              </w:rPr>
              <w:t>通知书。</w:t>
            </w:r>
          </w:p>
          <w:p>
            <w:pPr>
              <w:ind w:firstLine="420"/>
              <w:jc w:val="left"/>
            </w:pPr>
            <w:r>
              <w:rPr>
                <w:sz w:val="21"/>
              </w:rPr>
              <w:t>乙方收款时必须持有效发票与甲方结算。收款方、出具发票方、合同乙方均必须与</w:t>
            </w:r>
            <w:r>
              <w:rPr>
                <w:sz w:val="21"/>
              </w:rPr>
              <w:t>成交供应商</w:t>
            </w:r>
            <w:r>
              <w:rPr>
                <w:sz w:val="21"/>
              </w:rPr>
              <w:t>名称一致</w:t>
            </w:r>
            <w:r>
              <w:rPr>
                <w:sz w:val="21"/>
              </w:rPr>
              <w:t>，如乙方为联合体的，由联合体双方约定各自的收款比例。</w:t>
            </w:r>
          </w:p>
        </w:tc>
      </w:tr>
      <w:tr>
        <w:tc>
          <w:tcPr>
            <w:tcW w:type="dxa" w:w="670"/>
            <w:tcBorders>
              <w:top w:val="none" w:color="000000" w:sz="4"/>
              <w:left w:val="single" w:color="000000" w:sz="4"/>
              <w:bottom w:val="single" w:color="000000" w:sz="4"/>
              <w:right w:val="single" w:color="000000" w:sz="4"/>
            </w:tcBorders>
            <w:vAlign w:val="top"/>
          </w:tcPr>
          <w:p>
            <w:pPr>
              <w:jc w:val="both"/>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r>
        <w:rPr/>
        <w:t>三、项目内容</w:t>
      </w:r>
      <w:r>
        <w:br/>
      </w:r>
      <w:r>
        <w:rPr/>
        <w:t>编制《佛山市城市绿地系统规划》及《佛山市生物多样性保护规划》。</w:t>
      </w:r>
      <w:r>
        <w:br/>
      </w:r>
      <w:r>
        <w:rPr/>
        <w:t>1.《佛山市城市绿地系统规划》编制内容</w:t>
      </w:r>
      <w:r>
        <w:br/>
      </w:r>
      <w:r>
        <w:rPr/>
        <w:t>（1）佛山市绿地系统现状分析</w:t>
      </w:r>
      <w:r>
        <w:br/>
      </w:r>
      <w:r>
        <w:rPr/>
        <w:t>对佛山市各类绿地开展现状统计分析，从绿地布局结构、人均绿地指标情况、等方面梳理佛山市绿地发展的优势与动力，总结存在的主要问题。</w:t>
      </w:r>
      <w:r>
        <w:br/>
      </w:r>
      <w:r>
        <w:rPr/>
        <w:t>（2）明确绿地系统发展目标</w:t>
      </w:r>
      <w:r>
        <w:br/>
      </w:r>
      <w:r>
        <w:rPr/>
        <w:t>统筹衔接市级国土空间规划、自然生态文明规划、碧道建设规划等内容，明确绿地分类，构建绿地发展体系，提出发展目标及控制指标。</w:t>
      </w:r>
      <w:r>
        <w:br/>
      </w:r>
      <w:r>
        <w:rPr/>
        <w:t>（3）提出绿地系统空间结构</w:t>
      </w:r>
      <w:r>
        <w:br/>
      </w:r>
      <w:r>
        <w:rPr/>
        <w:t>结合市域生态格局及绿地发展现状，提出绿地系统空间格局，明确重要的绿地斑块、廊道、节点，构建完善的绿地生态网络。</w:t>
      </w:r>
      <w:r>
        <w:br/>
      </w:r>
      <w:r>
        <w:rPr/>
        <w:t>（4）明确绿地规划布局</w:t>
      </w:r>
      <w:r>
        <w:br/>
      </w:r>
      <w:r>
        <w:rPr/>
        <w:t>突出绿地布局的系统性、完整性与连续性，提出各类绿地规划布局，明确提出各类绿地规划建设指引。</w:t>
      </w:r>
      <w:r>
        <w:br/>
      </w:r>
      <w:r>
        <w:rPr/>
        <w:t>（5）防灾避险功能绿地规划</w:t>
      </w:r>
      <w:r>
        <w:br/>
      </w:r>
      <w:r>
        <w:rPr/>
        <w:t>根据防灾避险功能要求，提出长期避险绿地、中短期避险绿地、紧急避险绿地和城市隔离缓冲绿带规划布局。</w:t>
      </w:r>
      <w:r>
        <w:br/>
      </w:r>
      <w:r>
        <w:rPr/>
        <w:t>（6）绿地景观风貌规划</w:t>
      </w:r>
      <w:r>
        <w:br/>
      </w:r>
      <w:r>
        <w:rPr/>
        <w:t>提出植物配置、文化内涵、设施小品和文娱活动等要素指引，引导形成整体有共性、各类绿地有特色的绿地景观风貌网络。</w:t>
      </w:r>
      <w:r>
        <w:br/>
      </w:r>
      <w:r>
        <w:rPr/>
        <w:t>（7）树种规划</w:t>
      </w:r>
      <w:r>
        <w:br/>
      </w:r>
      <w:r>
        <w:rPr/>
        <w:t>确定城市绿化基调树种、骨干树种和一般树种等名录。</w:t>
      </w:r>
      <w:r>
        <w:br/>
      </w:r>
      <w:r>
        <w:rPr/>
        <w:t>（8）城市立体绿化规划</w:t>
      </w:r>
      <w:r>
        <w:br/>
      </w:r>
      <w:r>
        <w:rPr/>
        <w:t>识别市域高密度、高强度建设区域，明确立体绿化的重点建设片区，提出立体绿化建设形式与建设指引。</w:t>
      </w:r>
      <w:r>
        <w:br/>
      </w:r>
      <w:r>
        <w:rPr/>
        <w:t>（9）分期建设规划</w:t>
      </w:r>
      <w:r>
        <w:br/>
      </w:r>
      <w:r>
        <w:rPr/>
        <w:t>提出近远期绿地发展目标与建设重点，保障规划有序实施。</w:t>
      </w:r>
      <w:r>
        <w:br/>
      </w:r>
      <w:r>
        <w:rPr/>
        <w:t>2.《佛山市生物多样性保护规划》编制内容</w:t>
      </w:r>
      <w:r>
        <w:br/>
      </w:r>
      <w:r>
        <w:rPr/>
        <w:t>（1）开展生物多样性现状调查与分析</w:t>
      </w:r>
      <w:r>
        <w:br/>
      </w:r>
      <w:r>
        <w:rPr/>
        <w:t>开展生态系统多样性、物种多样性、遗传多样性等调查，掌握目前佛山市内生物多样性保护与管理现状，分析评价生物多样性保护面临的主要生态环境问题。</w:t>
      </w:r>
      <w:r>
        <w:br/>
      </w:r>
      <w:r>
        <w:rPr/>
        <w:t>（2）提出生物多样性保护目标</w:t>
      </w:r>
      <w:r>
        <w:br/>
      </w:r>
      <w:r>
        <w:rPr/>
        <w:t>结合生物多样性保护与管理现状，提出佛山市生物多样性保护目标。</w:t>
      </w:r>
      <w:r>
        <w:br/>
      </w:r>
      <w:r>
        <w:rPr/>
        <w:t>（3）合理优化生物多样性保护空间布局</w:t>
      </w:r>
      <w:r>
        <w:br/>
      </w:r>
      <w:r>
        <w:rPr/>
        <w:t>划分生物多样性保护分区、构建多层次、多尺度的生物多样性保护网络体系。</w:t>
      </w:r>
      <w:r>
        <w:br/>
      </w:r>
      <w:r>
        <w:rPr/>
        <w:t>（4）明确重点保护与恢复工程</w:t>
      </w:r>
      <w:r>
        <w:br/>
      </w:r>
      <w:r>
        <w:rPr/>
        <w:t>提出重要生物源地、指示物种等保护恢复工程，保障规划有序设施。</w:t>
      </w:r>
      <w:r>
        <w:br/>
      </w:r>
      <w:r>
        <w:rPr/>
        <w:t>四、成果形式及要求</w:t>
      </w:r>
      <w:r>
        <w:br/>
      </w:r>
      <w:r>
        <w:rPr/>
        <w:t>1.本项目的成果内容和深度符合《城市绿地系统规划编制纲要》要求、符合国家园林城市复查要求、符合国家、广东省和佛山市的相关规范、规定要求。本项目成果由文本、说明书（含技术图纸）组成。</w:t>
      </w:r>
      <w:r>
        <w:br/>
      </w:r>
      <w:r>
        <w:rPr/>
        <w:t>2.电子文件要求：本次规划成果均应制作成计算机电子文档。电子文件的形式须符合佛山市的有关要求。</w:t>
      </w:r>
      <w:r>
        <w:br/>
      </w:r>
      <w:r>
        <w:rPr/>
        <w:t>五、工作周期与进度安排</w:t>
      </w:r>
      <w:r>
        <w:br/>
      </w:r>
      <w:r>
        <w:rPr/>
        <w:t>项目开展分为初步成果阶段、中期成果阶段、专家评审阶段、终期成果阶段4个阶段，计划12个月内完成。</w:t>
      </w:r>
    </w:p>
    <w:tbl>
      <w:tblPr>
        <w:tblW w:w="0" w:type="auto"/>
        <w:tblBorders>
          <w:top w:val="none" w:color="000000" w:sz="4"/>
          <w:left w:val="none" w:color="000000" w:sz="4"/>
          <w:bottom w:val="none" w:color="000000" w:sz="4"/>
          <w:right w:val="none" w:color="000000" w:sz="4"/>
          <w:insideH w:val="none"/>
          <w:insideV w:val="none"/>
        </w:tblBorders>
      </w:tblPr>
      <w:tblGrid>
        <w:gridCol w:w="2694"/>
        <w:gridCol w:w="1619"/>
        <w:gridCol w:w="3989"/>
      </w:tblGrid>
      <w:tr>
        <w:tc>
          <w:tcPr>
            <w:tcW w:type="dxa" w:w="2694"/>
            <w:tcBorders>
              <w:top w:val="single" w:color="000000" w:sz="4"/>
              <w:left w:val="single" w:color="000000" w:sz="4"/>
              <w:bottom w:val="single" w:color="000000" w:sz="4"/>
              <w:right w:val="single" w:color="000000" w:sz="4"/>
            </w:tcBorders>
            <w:vAlign w:val="top"/>
          </w:tcPr>
          <w:p>
            <w:pPr>
              <w:jc w:val="center"/>
            </w:pPr>
            <w:r>
              <w:rPr>
                <w:b/>
                <w:sz w:val="21"/>
              </w:rPr>
              <w:t>阶段划分</w:t>
            </w:r>
          </w:p>
        </w:tc>
        <w:tc>
          <w:tcPr>
            <w:tcW w:type="dxa" w:w="1619"/>
            <w:tcBorders>
              <w:top w:val="single" w:color="000000" w:sz="4"/>
              <w:left w:val="single" w:color="000000" w:sz="4"/>
              <w:bottom w:val="single" w:color="000000" w:sz="4"/>
              <w:right w:val="single" w:color="000000" w:sz="4"/>
            </w:tcBorders>
            <w:vAlign w:val="top"/>
          </w:tcPr>
          <w:p>
            <w:pPr>
              <w:jc w:val="center"/>
            </w:pPr>
            <w:r>
              <w:rPr>
                <w:b/>
                <w:sz w:val="21"/>
              </w:rPr>
              <w:t>时间</w:t>
            </w:r>
          </w:p>
        </w:tc>
        <w:tc>
          <w:tcPr>
            <w:tcW w:type="dxa" w:w="3989"/>
            <w:tcBorders>
              <w:top w:val="single" w:color="000000" w:sz="4"/>
              <w:left w:val="single" w:color="000000" w:sz="4"/>
              <w:bottom w:val="single" w:color="000000" w:sz="4"/>
              <w:right w:val="single" w:color="000000" w:sz="4"/>
            </w:tcBorders>
            <w:vAlign w:val="top"/>
          </w:tcPr>
          <w:p>
            <w:pPr>
              <w:jc w:val="center"/>
            </w:pPr>
            <w:r>
              <w:rPr>
                <w:b/>
                <w:sz w:val="21"/>
              </w:rPr>
              <w:t>项目开展方式</w:t>
            </w:r>
          </w:p>
        </w:tc>
      </w:tr>
      <w:tr>
        <w:tc>
          <w:tcPr>
            <w:tcW w:type="dxa" w:w="2694"/>
            <w:tcBorders>
              <w:top w:val="none" w:color="000000" w:sz="4"/>
              <w:left w:val="single" w:color="000000" w:sz="4"/>
              <w:bottom w:val="single" w:color="000000" w:sz="4"/>
              <w:right w:val="single" w:color="000000" w:sz="4"/>
            </w:tcBorders>
            <w:vAlign w:val="top"/>
          </w:tcPr>
          <w:p>
            <w:pPr>
              <w:jc w:val="center"/>
            </w:pPr>
            <w:r>
              <w:rPr>
                <w:sz w:val="21"/>
              </w:rPr>
              <w:t>初步成果阶段</w:t>
            </w:r>
          </w:p>
        </w:tc>
        <w:tc>
          <w:tcPr>
            <w:tcW w:type="dxa" w:w="1619"/>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3989"/>
            <w:tcBorders>
              <w:top w:val="none" w:color="000000" w:sz="4"/>
              <w:left w:val="single" w:color="000000" w:sz="4"/>
              <w:bottom w:val="single" w:color="000000" w:sz="4"/>
              <w:right w:val="single" w:color="000000" w:sz="4"/>
            </w:tcBorders>
            <w:vAlign w:val="top"/>
          </w:tcPr>
          <w:p>
            <w:pPr>
              <w:jc w:val="center"/>
            </w:pPr>
            <w:r>
              <w:rPr>
                <w:sz w:val="21"/>
              </w:rPr>
              <w:t>完成初步成果。</w:t>
            </w:r>
          </w:p>
        </w:tc>
      </w:tr>
      <w:tr>
        <w:tc>
          <w:tcPr>
            <w:tcW w:type="dxa" w:w="2694"/>
            <w:tcBorders>
              <w:top w:val="none" w:color="000000" w:sz="4"/>
              <w:left w:val="single" w:color="000000" w:sz="4"/>
              <w:bottom w:val="single" w:color="000000" w:sz="4"/>
              <w:right w:val="single" w:color="000000" w:sz="4"/>
            </w:tcBorders>
            <w:vAlign w:val="top"/>
          </w:tcPr>
          <w:p>
            <w:pPr>
              <w:jc w:val="center"/>
            </w:pPr>
            <w:r>
              <w:rPr>
                <w:sz w:val="21"/>
              </w:rPr>
              <w:t>中期成果阶段</w:t>
            </w:r>
          </w:p>
        </w:tc>
        <w:tc>
          <w:tcPr>
            <w:tcW w:type="dxa" w:w="1619"/>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3989"/>
            <w:tcBorders>
              <w:top w:val="none" w:color="000000" w:sz="4"/>
              <w:left w:val="single" w:color="000000" w:sz="4"/>
              <w:bottom w:val="single" w:color="000000" w:sz="4"/>
              <w:right w:val="single" w:color="000000" w:sz="4"/>
            </w:tcBorders>
            <w:vAlign w:val="top"/>
          </w:tcPr>
          <w:p>
            <w:pPr>
              <w:jc w:val="center"/>
            </w:pPr>
            <w:r>
              <w:rPr>
                <w:sz w:val="21"/>
              </w:rPr>
              <w:t>完成中期成果，征求意见。</w:t>
            </w:r>
          </w:p>
        </w:tc>
      </w:tr>
      <w:tr>
        <w:tc>
          <w:tcPr>
            <w:tcW w:type="dxa" w:w="2694"/>
            <w:tcBorders>
              <w:top w:val="none" w:color="000000" w:sz="4"/>
              <w:left w:val="single" w:color="000000" w:sz="4"/>
              <w:bottom w:val="single" w:color="000000" w:sz="4"/>
              <w:right w:val="single" w:color="000000" w:sz="4"/>
            </w:tcBorders>
            <w:vAlign w:val="top"/>
          </w:tcPr>
          <w:p>
            <w:pPr>
              <w:jc w:val="center"/>
            </w:pPr>
            <w:r>
              <w:rPr>
                <w:sz w:val="21"/>
              </w:rPr>
              <w:t>专家评审阶段</w:t>
            </w:r>
          </w:p>
        </w:tc>
        <w:tc>
          <w:tcPr>
            <w:tcW w:type="dxa" w:w="1619"/>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3989"/>
            <w:tcBorders>
              <w:top w:val="none" w:color="000000" w:sz="4"/>
              <w:left w:val="single" w:color="000000" w:sz="4"/>
              <w:bottom w:val="single" w:color="000000" w:sz="4"/>
              <w:right w:val="single" w:color="000000" w:sz="4"/>
            </w:tcBorders>
            <w:vAlign w:val="top"/>
          </w:tcPr>
          <w:p>
            <w:pPr>
              <w:jc w:val="center"/>
            </w:pPr>
            <w:r>
              <w:rPr>
                <w:sz w:val="21"/>
              </w:rPr>
              <w:t>通过专家评审。</w:t>
            </w:r>
          </w:p>
        </w:tc>
      </w:tr>
      <w:tr>
        <w:tc>
          <w:tcPr>
            <w:tcW w:type="dxa" w:w="2694"/>
            <w:tcBorders>
              <w:top w:val="none" w:color="000000" w:sz="4"/>
              <w:left w:val="single" w:color="000000" w:sz="4"/>
              <w:bottom w:val="single" w:color="000000" w:sz="4"/>
              <w:right w:val="single" w:color="000000" w:sz="4"/>
            </w:tcBorders>
            <w:vAlign w:val="top"/>
          </w:tcPr>
          <w:p>
            <w:pPr>
              <w:jc w:val="center"/>
            </w:pPr>
            <w:r>
              <w:rPr>
                <w:sz w:val="21"/>
              </w:rPr>
              <w:t>终期成果阶段</w:t>
            </w:r>
          </w:p>
        </w:tc>
        <w:tc>
          <w:tcPr>
            <w:tcW w:type="dxa" w:w="1619"/>
            <w:tcBorders>
              <w:top w:val="none" w:color="000000" w:sz="4"/>
              <w:left w:val="single" w:color="000000" w:sz="4"/>
              <w:bottom w:val="single" w:color="000000" w:sz="4"/>
              <w:right w:val="single" w:color="000000" w:sz="4"/>
            </w:tcBorders>
            <w:vAlign w:val="top"/>
          </w:tcPr>
          <w:p>
            <w:pPr>
              <w:jc w:val="center"/>
            </w:pPr>
            <w:r>
              <w:rPr>
                <w:sz w:val="21"/>
              </w:rPr>
              <w:t>3个月</w:t>
            </w:r>
          </w:p>
        </w:tc>
        <w:tc>
          <w:tcPr>
            <w:tcW w:type="dxa" w:w="3989"/>
            <w:tcBorders>
              <w:top w:val="none" w:color="000000" w:sz="4"/>
              <w:left w:val="single" w:color="000000" w:sz="4"/>
              <w:bottom w:val="single" w:color="000000" w:sz="4"/>
              <w:right w:val="single" w:color="000000" w:sz="4"/>
            </w:tcBorders>
            <w:vAlign w:val="top"/>
          </w:tcPr>
          <w:p>
            <w:pPr>
              <w:jc w:val="center"/>
            </w:pPr>
            <w:r>
              <w:rPr>
                <w:sz w:val="21"/>
              </w:rPr>
              <w:t>深化完善成果，形成最终成果。</w:t>
            </w:r>
          </w:p>
        </w:tc>
      </w:tr>
    </w:tbl>
    <w:p>
      <w:r>
        <w:rPr/>
        <w:t>六、项目团队成员要求</w:t>
      </w:r>
      <w:r>
        <w:br/>
      </w:r>
      <w:r>
        <w:rPr/>
        <w:t>1.乙方应配备与本项目采购内容相对应的人员投入本项目。</w:t>
      </w:r>
      <w:r>
        <w:br/>
      </w:r>
      <w:r>
        <w:rPr/>
        <w:t xml:space="preserve">2.在项目实施期间，本项目实施人员的更换须经甲方同意。未经甲方同意，乙方不得调整在响应文件中所承诺的项目实施人员。 </w:t>
      </w:r>
      <w:r>
        <w:br/>
      </w:r>
      <w:r>
        <w:rPr/>
        <w:t xml:space="preserve">3.对于乙方委派的项目实施人员在服务期间因工作原因引起的各种工伤、安全事件和事故责任及费用由乙方承担。 </w:t>
      </w:r>
      <w:r>
        <w:br/>
      </w:r>
      <w:r>
        <w:rPr/>
        <w:t xml:space="preserve">4.甲方有权以书面形式要求乙方更换不能按规定履行合同的人员。 </w:t>
      </w:r>
      <w:r>
        <w:br/>
      </w:r>
      <w:r>
        <w:rPr/>
        <w:t>5.获得甲方要求或同意更换的人员，其代替人员的资质仍应得到甲方的认可，且其资历和经验均不低于被更换人员。由此而产生的一切费用由乙方承担。</w:t>
      </w:r>
      <w:r>
        <w:br/>
      </w:r>
      <w:r>
        <w:rPr/>
        <w:t>七、服务对照执行标准</w:t>
      </w:r>
      <w:r>
        <w:br/>
      </w:r>
      <w:r>
        <w:rPr/>
        <w:t>1.符合中华人民共和国国家和履约地相关安全质量标准、行业技术规范标准；</w:t>
      </w:r>
      <w:r>
        <w:br/>
      </w:r>
      <w:r>
        <w:rPr/>
        <w:t>2.符合竞争性磋商文件和响应承诺中各方共同认可的合理要求；</w:t>
      </w:r>
      <w:r>
        <w:br/>
      </w:r>
      <w:r>
        <w:rPr/>
        <w:t>上述各类标准与法规必须是有关官方机构最新发布的现行标准版本。</w:t>
      </w:r>
      <w:r>
        <w:br/>
      </w:r>
      <w:r>
        <w:rPr/>
        <w:t>八、投诉跟踪服务要求：</w:t>
      </w:r>
      <w:r>
        <w:br/>
      </w:r>
      <w:r>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r>
        <w:br/>
      </w:r>
      <w:r>
        <w:rPr/>
        <w:t>2.服务期内，甲方有权按本项目的管理要求对乙方进行不定期抽查检查，若对不合格的管理服务提出警告后，仍未得到有效解决时，甲方有权终止管理合同。</w:t>
      </w:r>
      <w:r>
        <w:br/>
      </w:r>
      <w:r>
        <w:rPr/>
        <w:t xml:space="preserve">3.乙方服务机构名称及地址： </w:t>
      </w:r>
      <w:r>
        <w:br/>
      </w:r>
      <w:r>
        <w:rPr/>
        <w:t>联系人1：          ，联系电话：            ，手机：          ；</w:t>
      </w:r>
      <w:r>
        <w:br/>
      </w:r>
      <w:r>
        <w:rPr/>
        <w:t>联系人2：          ，联系电话：            ，手机：          ；</w:t>
      </w:r>
      <w:r>
        <w:br/>
      </w:r>
      <w:r>
        <w:rPr/>
        <w:t>服务专线电话：</w:t>
      </w:r>
      <w:r>
        <w:br/>
      </w:r>
      <w:r>
        <w:rPr/>
        <w:t>4.其他服务要求：（补充内容不得对竞争性磋商文件和投标/响应文件作实质性修改）</w:t>
      </w:r>
      <w:r>
        <w:br/>
      </w:r>
      <w:r>
        <w:rPr>
          <w:u w:val="single"/>
        </w:rPr>
        <w:t xml:space="preserve">                             </w:t>
      </w:r>
      <w:r>
        <w:rPr/>
        <w:t>。</w:t>
      </w:r>
      <w:r>
        <w:br/>
      </w:r>
      <w:r>
        <w:rPr/>
        <w:t xml:space="preserve">九、验收要求： </w:t>
      </w:r>
      <w:r>
        <w:br/>
      </w:r>
      <w:r>
        <w:rPr/>
        <w:t>1.甲方按竞争性磋商文件、响应文件以及服务合同条款进行验收，验收应符合国家、广东省、佛山市或行业的有关规定。</w:t>
      </w:r>
      <w:r>
        <w:br/>
      </w:r>
      <w:r>
        <w:rPr/>
        <w:t>2.项目成果须通过专家评审会评审（评审专家费用由乙方承担），并经甲方书面确认验收。</w:t>
      </w:r>
      <w:r>
        <w:br/>
      </w:r>
      <w:r>
        <w:rPr/>
        <w:t>3.乙方应在验收通过后向甲方提供完整的最终成果。</w:t>
      </w:r>
      <w:r>
        <w:br/>
      </w:r>
      <w:r>
        <w:rPr/>
        <w:t>4.甲方在收到乙方项目验收建议之日起7日内按照合同的约定对履约情况进行验收。乙方需为验收提供必需的一切条件及相关费用，并提供本项目的相关文档和验收所需资料，积极配合甲方完成验收工作。</w:t>
      </w:r>
      <w:r>
        <w:br/>
      </w:r>
      <w:r>
        <w:rPr/>
        <w:t>5.其他验收要求：（补充内容不得对竞争性磋商文件和投标/响应文件作实质性修改）</w:t>
      </w:r>
      <w:r>
        <w:br/>
      </w:r>
      <w:r>
        <w:rPr>
          <w:u w:val="single"/>
        </w:rPr>
        <w:t xml:space="preserve">                                </w:t>
      </w:r>
      <w:r>
        <w:rPr/>
        <w:t>。</w:t>
      </w:r>
      <w:r>
        <w:br/>
      </w:r>
      <w:r>
        <w:rPr/>
        <w:t>十、知识产权和保密要求：</w:t>
      </w:r>
      <w:r>
        <w:br/>
      </w:r>
      <w:r>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本项目知识产权归甲方所有。</w:t>
      </w:r>
      <w:r>
        <w:br/>
      </w:r>
      <w:r>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2）除了合同本身之外，上款所列举的任何物件均是甲方的财产。如果甲方有要求，乙方在完成合同后应将这些物件及全部复制件还给甲方。</w:t>
      </w:r>
      <w:r>
        <w:br/>
      </w:r>
      <w:r>
        <w:rPr/>
        <w:t>十一、违约责任：</w:t>
      </w:r>
      <w:r>
        <w:br/>
      </w:r>
      <w:r>
        <w:rPr/>
        <w:t>1.乙方提供的服务不符合竞争性磋商文件、响应文件或本合同规定的，甲方有权拒收，乙方应在在甲方规定的期限内更正，乙方交货期限不予顺延，乙方不予更正或更正后仍不符合合同约定的，甲方有权解除合同，要求乙方支付合同总额30%的违约金，造成甲方其他损失的，乙方应予以赔偿。</w:t>
      </w:r>
      <w:r>
        <w:br/>
      </w:r>
      <w:r>
        <w:rPr/>
        <w:t>2.乙方未能按本合同规定的时间或提供服务的，从逾期之日起每日按本合同总价万分之五的数额向甲方支付违约金；逾期15天以上（含15天）的，甲方有权解除合同，要求乙方支付合同总额30%的违约金，造成甲方其他损失的，乙方应予以赔偿。</w:t>
      </w:r>
      <w:r>
        <w:br/>
      </w:r>
      <w:r>
        <w:rPr/>
        <w:t>3.甲方无正当理由拒绝服务，到期拒付服务款项的，则从逾期之日起每日按当期应付款的万分之五向乙方偿付违约金。</w:t>
      </w:r>
      <w:r>
        <w:br/>
      </w:r>
      <w:r>
        <w:rPr/>
        <w:t>4.乙方未经甲方事先书面同意，将其应履行的合同项下的义务部分或全部转让给第三人的，甲方有权解除合同，要求乙方支付合同总额30%的违约金，造成甲方其他损失的，乙方应予以赔偿。</w:t>
      </w:r>
      <w:r>
        <w:br/>
      </w:r>
      <w:r>
        <w:rPr/>
        <w:t>5. 因一方违约致使本合同的履行产生争议，守约方为解决争议所产生的诉讼费、鉴定费、财产保全费、诉讼保全责任保险费、公证费、律师费、交通费、通讯费、差旅费、文印费等合理费用由违约方承担。</w:t>
      </w:r>
      <w:r>
        <w:br/>
      </w:r>
      <w:r>
        <w:rPr/>
        <w:t>6.其它违约责任按《中华人民共和国民法典》处理。</w:t>
      </w:r>
      <w:r>
        <w:br/>
      </w:r>
      <w:r>
        <w:rPr/>
        <w:t>十二、送达</w:t>
      </w:r>
      <w:r>
        <w:br/>
      </w:r>
      <w:r>
        <w:rPr/>
        <w:t>1.为联络和送达方便，各自确认可用以下方式送达：</w:t>
      </w:r>
      <w:r>
        <w:br/>
      </w:r>
      <w:r>
        <w:rPr/>
        <w:t xml:space="preserve">甲方的送达地址：                       收件人：           </w:t>
      </w:r>
      <w:r>
        <w:br/>
      </w:r>
      <w:r>
        <w:rPr/>
        <w:t xml:space="preserve">电子邮箱：                             手机号：                </w:t>
      </w:r>
      <w:r>
        <w:br/>
      </w:r>
      <w:r>
        <w:rPr/>
        <w:t xml:space="preserve">微信号：                   </w:t>
      </w:r>
      <w:r>
        <w:br/>
      </w:r>
      <w:r>
        <w:rPr/>
        <w:t xml:space="preserve">乙方的送达地址：                        收件人：         </w:t>
      </w:r>
      <w:r>
        <w:br/>
      </w:r>
      <w:r>
        <w:rPr/>
        <w:t xml:space="preserve">电子邮箱：                              手机号：                     </w:t>
      </w:r>
      <w:r>
        <w:br/>
      </w:r>
      <w:r>
        <w:rPr/>
        <w:t xml:space="preserve">微信号：                      </w:t>
      </w:r>
      <w:r>
        <w:br/>
      </w:r>
      <w:r>
        <w:rPr/>
        <w:t>2.任何一方变更送达地址、邮箱、电话、微信号、传真号码，应在变更当日以书面形式通知对方。否则，视为未变更，由此导致的一切法律责任和经济损失由变更一方承担。</w:t>
      </w:r>
      <w:r>
        <w:br/>
      </w:r>
      <w:r>
        <w:rPr/>
        <w:t>3.本合同规定的任何通知或通讯文件按合同载明的联系方法由专人传送、或挂号邮寄、特快专递或传真、邮件、电话、微信送达，凡按合同约定联系方式进行的通知即为有效通知。采取发送短信、传真、微信、电子邮件的方式送达的，以文书到达对方特定系统日期为送达日期；采取邮寄方式送达的，文件邮寄至指定地址即可，以邮寄回执上注明的收件日期为送达日期，拒收或无人签收的以邮件退回日期为送达日期。</w:t>
      </w:r>
      <w:r>
        <w:br/>
      </w:r>
      <w:r>
        <w:rPr/>
        <w:t>4.双方确认，若双方履行合同发生争议时，上述各方邮寄地址同时亦为该方接收司法机关送达司法文书的送达地址，司法机关按上述地址邮寄送达司法文书的，以邮寄回执上注明的收件日期为送达日期，拒收或无人签收的以邮件退回日期为送达日期。</w:t>
      </w:r>
      <w:r>
        <w:br/>
      </w:r>
      <w:r>
        <w:rPr/>
        <w:t>十三、提出异议的时间和方法：</w:t>
      </w:r>
      <w:r>
        <w:br/>
      </w:r>
      <w:r>
        <w:rPr/>
        <w:t>1.甲方有异议时，应</w:t>
      </w:r>
      <w:r>
        <w:rPr>
          <w:u w:val="single"/>
        </w:rPr>
        <w:t xml:space="preserve">  </w:t>
      </w:r>
      <w:r>
        <w:rPr/>
        <w:t>天内向乙方提出书面异议。</w:t>
      </w:r>
      <w:r>
        <w:br/>
      </w:r>
      <w:r>
        <w:rPr/>
        <w:t>2.乙方在接到甲方书面异议后，应在3天内负责处理并函复甲方处理情况，否则，即视为默认甲方提出的异议和处理意见。</w:t>
      </w:r>
      <w:r>
        <w:br/>
      </w:r>
      <w:r>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r>
        <w:br/>
      </w:r>
      <w:r>
        <w:rPr/>
        <w:t>十四、争议的解决：</w:t>
      </w:r>
      <w:r>
        <w:br/>
      </w:r>
      <w:r>
        <w:rPr/>
        <w:t>1.合同履行过程中发生的任何争议，如双方未能通过友好协商解决，应向佛山市有管辖权的人民法院提起诉讼。</w:t>
      </w:r>
      <w:r>
        <w:br/>
      </w:r>
      <w:r>
        <w:rPr/>
        <w:t>2.法院审理期间，除提交法院审理的事项外，其它无争议的事项和条款仍应继续履行。</w:t>
      </w:r>
      <w:r>
        <w:br/>
      </w:r>
      <w:r>
        <w:rPr/>
        <w:t xml:space="preserve">十五、不可抗力： </w:t>
      </w:r>
      <w:r>
        <w:br/>
      </w:r>
      <w:r>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r>
        <w:br/>
      </w:r>
      <w:r>
        <w:rPr/>
        <w:t>十六、税费：</w:t>
      </w:r>
      <w:r>
        <w:br/>
      </w:r>
      <w:r>
        <w:rPr/>
        <w:t>1.本合同实施过程中所发生的一切税费及不可预见费均由乙方承担。</w:t>
      </w:r>
      <w:r>
        <w:br/>
      </w:r>
      <w:r>
        <w:rPr/>
        <w:t>2.乙方依照税务规章优先在合同履约地开具发票及纳税，咨询：0757-12366。</w:t>
      </w:r>
      <w:r>
        <w:br/>
      </w:r>
      <w:r>
        <w:rPr/>
        <w:t>十七、合同生效与合同备案：</w:t>
      </w:r>
      <w:r>
        <w:br/>
      </w:r>
      <w:r>
        <w:rPr/>
        <w:t>1.本合同在甲乙双方法人代表或其授权代表签字盖章后生效。</w:t>
      </w:r>
      <w:r>
        <w:br/>
      </w:r>
      <w:r>
        <w:rPr/>
        <w:t>2.自采购合同签订之日起7个工作日内，由甲方按照有关规定将采购合同副本报同级人民政府财政部门（政府采购管理部门）备案。</w:t>
      </w:r>
      <w:r>
        <w:br/>
      </w:r>
      <w:r>
        <w:rPr/>
        <w:t>十八、乙方应提供的资料内容：</w:t>
      </w:r>
      <w:r>
        <w:br/>
      </w:r>
      <w:r>
        <w:rPr>
          <w:u w:val="single"/>
        </w:rPr>
        <w:t xml:space="preserve">                             </w:t>
      </w:r>
      <w:r>
        <w:rPr/>
        <w:t xml:space="preserve"> 。</w:t>
      </w:r>
      <w:r>
        <w:br/>
      </w:r>
      <w:r>
        <w:rPr/>
        <w:t>十九、关于政府采购合同融资</w:t>
      </w:r>
      <w:r>
        <w:br/>
      </w:r>
      <w:r>
        <w:rPr/>
        <w:t>1.乙方是否已申请政府采购合同融资：</w:t>
      </w:r>
      <w:r>
        <w:rPr>
          <w:u w:val="single"/>
        </w:rPr>
        <w:t xml:space="preserve"> 是  / 否  </w:t>
      </w:r>
      <w:r>
        <w:rPr/>
        <w:t>；</w:t>
      </w:r>
      <w:r>
        <w:br/>
      </w:r>
      <w:r>
        <w:rPr/>
        <w:t>2.融资银行及联系方式：</w:t>
      </w:r>
      <w:r>
        <w:rPr>
          <w:u w:val="single"/>
        </w:rPr>
        <w:t xml:space="preserve">                       </w:t>
      </w:r>
      <w:r>
        <w:rPr/>
        <w:t xml:space="preserve"> 。</w:t>
      </w:r>
      <w:r>
        <w:br/>
      </w:r>
      <w:r>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br/>
      </w:r>
      <w:r>
        <w:rPr/>
        <w:t>二十、其它：</w:t>
      </w:r>
      <w:r>
        <w:br/>
      </w:r>
      <w:r>
        <w:rPr/>
        <w:t>1.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r>
        <w:br/>
      </w:r>
      <w:r>
        <w:rPr/>
        <w:t>2.如一方（包括联系人）地址、电话、传真号码有变更，应在变更后3个工作日内书面通知对方联系人或负责人，否则，因此造成的损失由未履行通知义务方承担相应责任。</w:t>
      </w:r>
      <w:r>
        <w:br/>
      </w:r>
      <w:r>
        <w:rPr/>
        <w:t>3.未经甲方书面同意，乙方不得擅自向第三方转让其主体性和关键性合同义务。</w:t>
      </w:r>
      <w:r>
        <w:br/>
      </w:r>
      <w:r>
        <w:rPr/>
        <w:t>4.本合同一式</w:t>
      </w:r>
      <w:r>
        <w:rPr>
          <w:u w:val="single"/>
        </w:rPr>
        <w:t xml:space="preserve">  </w:t>
      </w:r>
      <w:r>
        <w:rPr/>
        <w:t>份，甲方执</w:t>
      </w:r>
      <w:r>
        <w:rPr>
          <w:u w:val="single"/>
        </w:rPr>
        <w:t xml:space="preserve"> </w:t>
      </w:r>
      <w:r>
        <w:rPr/>
        <w:t>份，乙方执</w:t>
      </w:r>
      <w:r>
        <w:rPr>
          <w:u w:val="single"/>
        </w:rPr>
        <w:t xml:space="preserve"> </w:t>
      </w:r>
      <w:r>
        <w:rPr/>
        <w:t>份，代理机构执壹份。</w:t>
      </w:r>
      <w:r>
        <w:br/>
      </w:r>
      <w:r>
        <w:rPr/>
        <w:t>5.本合同（含附件）共计</w:t>
      </w:r>
      <w:r>
        <w:rPr>
          <w:u w:val="single"/>
        </w:rPr>
        <w:t xml:space="preserve">  </w:t>
      </w:r>
      <w:r>
        <w:rPr/>
        <w:t>页，缺页之合同为无效合同。</w:t>
      </w:r>
      <w:r>
        <w:br/>
      </w:r>
      <w:r>
        <w:rPr/>
        <w:t>6.本合同签约履约地点：广东省佛山市。</w:t>
      </w:r>
      <w:r>
        <w:br/>
      </w:r>
      <w:r>
        <w:rPr/>
        <w:t>7.本合同所指“书面通知”包括但不限于短信、电子邮件等数据电文的通知形式，到达时间以民事诉讼法的规定为准，但进行书面通知前后，通知方均有义务电话确认通知事项。</w:t>
      </w:r>
      <w:r>
        <w:br/>
      </w:r>
      <w:r>
        <w:rPr/>
        <w:t>双方均已对以上各条款及附件作充分了解，并明确理解由此而产生的相关权责。</w:t>
      </w:r>
      <w:r>
        <w:br/>
      </w:r>
      <w:r>
        <w:rPr/>
        <w:t xml:space="preserve"> </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           年     月    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        年     月     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 户 行：</w:t>
            </w:r>
          </w:p>
        </w:tc>
      </w:tr>
    </w:tbl>
    <w:p>
      <w:r>
        <w:rPr>
          <w:b/>
          <w:color w:val="000000"/>
          <w:sz w:val="21"/>
        </w:rPr>
        <w:t>见证单位（盖章）：佛山市信悦咨询有限公司</w:t>
      </w:r>
    </w:p>
    <w:p>
      <w:r>
        <w:rPr>
          <w:sz w:val="21"/>
        </w:rPr>
        <w:t>见证人:</w:t>
      </w:r>
    </w:p>
    <w:p>
      <w:r>
        <w:rPr>
          <w:sz w:val="21"/>
        </w:rPr>
        <w:t>合同见证日期：  年   月   日</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440601-2023-00973</w:t>
      </w:r>
    </w:p>
    <w:p>
      <w:pPr>
        <w:jc w:val="center"/>
      </w:pPr>
      <w:r>
        <w:rPr>
          <w:b/>
          <w:sz w:val="24"/>
        </w:rPr>
        <w:t>采购项目编号：</w:t>
      </w:r>
      <w:r>
        <w:rPr>
          <w:b/>
          <w:sz w:val="24"/>
        </w:rPr>
        <w:t>XY0122094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编制佛山市城市绿地系统规划（含编制城市生物多样性保护规划）</w:t>
      </w:r>
      <w:r>
        <w:rPr>
          <w:u w:val="single"/>
        </w:rPr>
        <w:t>”</w:t>
      </w:r>
      <w:r>
        <w:rPr/>
        <w:t>项目的竞争性磋商[采购项目编号为：</w:t>
      </w:r>
      <w:r>
        <w:rPr>
          <w:u w:val="single"/>
        </w:rPr>
        <w:t>XY0122094</w:t>
      </w:r>
      <w:r>
        <w:rPr/>
        <w:t>]，我方愿参与响应。</w:t>
      </w:r>
    </w:p>
    <w:p>
      <w:pPr>
        <w:ind w:firstLine="480"/>
      </w:pPr>
      <w:r>
        <w:rPr/>
        <w:t>我方确认收到贵方提供的</w:t>
      </w:r>
      <w:r>
        <w:rPr>
          <w:u w:val="single"/>
        </w:rPr>
        <w:t>“</w:t>
      </w:r>
      <w:r>
        <w:rPr>
          <w:u w:val="single"/>
        </w:rPr>
        <w:t>编制佛山市城市绿地系统规划（含编制城市生物多样性保护规划）</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编制佛山市城市绿地系统规划（含编制城市生物多样性保护规划）</w:t>
      </w:r>
      <w:r>
        <w:rPr/>
        <w:t>”项目采购[采购项目编号为</w:t>
      </w:r>
      <w:r>
        <w:rPr/>
        <w:t>XY0122094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编制佛山市城市绿地系统规划（含编制城市生物多样性保护规划）</w:t>
      </w:r>
      <w:r>
        <w:rPr/>
        <w:t>（采购项目编号：</w:t>
      </w:r>
      <w:r>
        <w:rPr/>
        <w:t>XY0122094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编制佛山市城市绿地系统规划（含编制城市生物多样性保护规划）</w:t>
      </w:r>
      <w:r>
        <w:rPr/>
        <w:t>”项目（采购项目编号：</w:t>
      </w:r>
      <w:r>
        <w:rPr/>
        <w:t>XY0122094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