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440601-2023-00960</w:t>
      </w:r>
    </w:p>
    <w:p>
      <w:pPr>
        <w:jc w:val="center"/>
      </w:pPr>
      <w:r>
        <w:rPr>
          <w:b/>
          <w:sz w:val="24"/>
        </w:rPr>
        <w:t>采购项目编号：</w:t>
      </w:r>
      <w:r>
        <w:rPr>
          <w:b/>
          <w:sz w:val="24"/>
        </w:rPr>
        <w:t>XY0123011</w:t>
      </w:r>
    </w:p>
    <w:p>
      <w:pPr>
        <w:jc w:val="center"/>
      </w:pPr>
      <w:r>
        <w:rPr>
          <w:b/>
          <w:sz w:val="24"/>
        </w:rPr>
        <w:t>项目名称：</w:t>
      </w:r>
      <w:r>
        <w:rPr>
          <w:b/>
          <w:sz w:val="24"/>
        </w:rPr>
        <w:t>佛山市城市绿化遥感调查与测评</w:t>
      </w:r>
    </w:p>
    <w:p>
      <w:pPr>
        <w:jc w:val="center"/>
      </w:pPr>
      <w:r>
        <w:rPr>
          <w:b/>
          <w:sz w:val="24"/>
        </w:rPr>
        <w:t>采购人：</w:t>
      </w:r>
      <w:r>
        <w:rPr>
          <w:b/>
          <w:sz w:val="24"/>
        </w:rPr>
        <w:t>佛山市城市管理和综合执法局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佛山市城市管理和综合执法局</w:t>
      </w:r>
      <w:r>
        <w:rPr/>
        <w:t>的委托，采用</w:t>
      </w:r>
      <w:r>
        <w:rPr/>
        <w:t>竞争性磋商</w:t>
      </w:r>
      <w:r>
        <w:rPr/>
        <w:t>方式组织采购</w:t>
      </w:r>
      <w:r>
        <w:rPr/>
        <w:t>佛山市城市绿化遥感调查与测评</w:t>
      </w:r>
      <w:r>
        <w:rPr/>
        <w:t>。欢迎符合资格条件的供应商参加。</w:t>
      </w:r>
    </w:p>
    <w:p>
      <w:r>
        <w:rPr>
          <w:b/>
          <w:sz w:val="28"/>
        </w:rPr>
        <w:t>一.项目概述</w:t>
      </w:r>
    </w:p>
    <w:p>
      <w:r>
        <w:rPr>
          <w:b/>
          <w:sz w:val="24"/>
        </w:rPr>
        <w:t>1.名称与编号</w:t>
      </w:r>
    </w:p>
    <w:p>
      <w:pPr>
        <w:ind w:firstLine="480"/>
      </w:pPr>
      <w:r>
        <w:rPr/>
        <w:t>采购项目名称：</w:t>
      </w:r>
      <w:r>
        <w:rPr/>
        <w:t>佛山市城市绿化遥感调查与测评</w:t>
      </w:r>
    </w:p>
    <w:p>
      <w:pPr>
        <w:ind w:firstLine="480"/>
      </w:pPr>
      <w:r>
        <w:rPr/>
        <w:t>采购计划编号：</w:t>
      </w:r>
      <w:r>
        <w:rPr/>
        <w:t>440601-2023-00960</w:t>
      </w:r>
    </w:p>
    <w:p>
      <w:pPr>
        <w:ind w:firstLine="480"/>
      </w:pPr>
      <w:r>
        <w:rPr/>
        <w:t>采购项目编号：</w:t>
      </w:r>
      <w:r>
        <w:rPr/>
        <w:t>XY0123011</w:t>
      </w:r>
    </w:p>
    <w:p>
      <w:pPr>
        <w:ind w:firstLine="480"/>
      </w:pPr>
      <w:r>
        <w:rPr/>
        <w:t>采购方式：</w:t>
      </w:r>
      <w:r>
        <w:rPr/>
        <w:t>竞争性磋商</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采购包1(佛山市城市绿化遥感调查与测评):</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测绘服务</w:t>
            </w:r>
          </w:p>
        </w:tc>
        <w:tc>
          <w:tcPr>
            <w:tcW w:type="dxa" w:w="2136"/>
          </w:tcPr>
          <w:p>
            <w:r>
              <w:rPr/>
              <w:t>佛山市城市绿化遥感调查与测评</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合同履行期限：自合同生效之日至2024年6月完成并经验收合格。</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w:t>
      </w:r>
    </w:p>
    <w:p/>
    <w:p>
      <w:r>
        <w:rPr/>
        <w:t>2）有依法缴纳税收和社会保障资金的良好记录：提供响应文件递交截止日前6个月内（含截止日当月）任意1个月缴纳税收和社会保险的凭据证明材料复印件；如依法免税或不需要缴纳社会保障资金的，提供相应证明材料。</w:t>
      </w:r>
    </w:p>
    <w:p/>
    <w:p>
      <w:r>
        <w:rPr/>
        <w:t>3）具有良好的商业信誉和健全的财务会计制度：提供2021年度或2022年度财务状况报告复印件，或响应文件递交截止日前6个月内（不含截止日当月）任意1个月的财务状况报告复印件，或响应文件递交截止日前6个月内（含截止日当月）基本开户行出具的资信证明复印件。</w:t>
      </w:r>
    </w:p>
    <w:p/>
    <w:p>
      <w:r>
        <w:rPr/>
        <w:t>4）履行合同所必需的设备和专业技术能力：按投标（响应）文件格式填报设备及专业技术能力情况。</w:t>
      </w:r>
    </w:p>
    <w:p/>
    <w:p>
      <w:r>
        <w:rPr/>
        <w:t>5）参加采购活动前3年内，在经营活动中没有重大违法记录：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采购包1（佛山市城市绿化遥感调查与测评）：</w:t>
      </w:r>
      <w:r>
        <w:rPr/>
        <w:t>供应商须为符合划分标准的中小企业（监狱企业、残疾人福利单位视同小型、微型企业）。本项目行业为：其他未列明行业。中小企业以供应商填写的《中小企业声明函》【见响应文件格式与要求】为判定标准，残疾人福利性单位以供应商填写的《残疾人福利性单位声明函》【见响应文件格式与要求】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采购包1（佛山市城市绿化遥感调查与测评）：</w:t>
      </w:r>
    </w:p>
    <w:p/>
    <w:p>
      <w:r>
        <w:rPr/>
        <w:t>1)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t>3)供应商须具有有效的乙级（或以上）测绘资质证书，且测绘资质专业范围须同时包含“摄影测量与遥感”和“地理信息系统工程”。</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佛山市公共资源交易网（http://ggzy.foshan.gov.cn/）及采购代理机构网站（www.fssxyzx.com）</w:t>
      </w:r>
    </w:p>
    <w:p>
      <w:r>
        <w:rPr>
          <w:b/>
          <w:sz w:val="28"/>
        </w:rPr>
        <w:t>六.本项目联系方式：</w:t>
      </w:r>
    </w:p>
    <w:p>
      <w:r>
        <w:rPr>
          <w:b/>
          <w:sz w:val="24"/>
        </w:rPr>
        <w:t>1.采购人信息</w:t>
      </w:r>
    </w:p>
    <w:p>
      <w:pPr>
        <w:ind w:firstLine="480"/>
      </w:pPr>
      <w:r>
        <w:rPr/>
        <w:t>名称：</w:t>
      </w:r>
      <w:r>
        <w:rPr/>
        <w:t>佛山市城市管理和综合执法局</w:t>
      </w:r>
    </w:p>
    <w:p>
      <w:pPr>
        <w:ind w:firstLine="480"/>
      </w:pPr>
      <w:r>
        <w:rPr/>
        <w:t>地址：</w:t>
      </w:r>
      <w:r>
        <w:rPr/>
        <w:t>佛山市禅城区人民路98号</w:t>
      </w:r>
    </w:p>
    <w:p>
      <w:pPr>
        <w:ind w:firstLine="480"/>
      </w:pPr>
      <w:r>
        <w:rPr/>
        <w:t>联系方式：</w:t>
      </w:r>
      <w:r>
        <w:rPr/>
        <w:t>0757-82626770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廖永宜</w:t>
      </w:r>
    </w:p>
    <w:p>
      <w:pPr>
        <w:ind w:firstLine="480"/>
      </w:pPr>
      <w:r>
        <w:rPr/>
        <w:t>电话：</w:t>
      </w:r>
      <w:r>
        <w:rPr/>
        <w:t>0757-83279001、0757-83279081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国家园林城市建设，是进一步改善投资环境，提升城市竞争力的重要途径；是进一步改善生活环境，提高城市居民生活质量的重要措施；是进一步改善生态环境，实现城市可持续发展的必然要求。根据《住房和城乡建设部关于印发国家园林城市申报与评选管理办法的通知》（建城〔</w:t>
      </w:r>
      <w:r>
        <w:rPr>
          <w:sz w:val="21"/>
        </w:rPr>
        <w:t>2022</w:t>
      </w:r>
      <w:r>
        <w:rPr>
          <w:sz w:val="21"/>
        </w:rPr>
        <w:t>〕</w:t>
      </w:r>
      <w:r>
        <w:rPr>
          <w:sz w:val="21"/>
        </w:rPr>
        <w:t>2</w:t>
      </w:r>
      <w:r>
        <w:rPr>
          <w:sz w:val="21"/>
        </w:rPr>
        <w:t>号），国家园林城市命名有效期为</w:t>
      </w:r>
      <w:r>
        <w:rPr>
          <w:sz w:val="21"/>
        </w:rPr>
        <w:t>5</w:t>
      </w:r>
      <w:r>
        <w:rPr>
          <w:sz w:val="21"/>
        </w:rPr>
        <w:t>年，佛山市须在</w:t>
      </w:r>
      <w:r>
        <w:rPr>
          <w:sz w:val="21"/>
        </w:rPr>
        <w:t>2023</w:t>
      </w:r>
      <w:r>
        <w:rPr>
          <w:sz w:val="21"/>
        </w:rPr>
        <w:t>年提出复查申请。园林城市复查需要提交遥感调查与测评基础等相关材料，因此通过采购园林城市申报所需的遥感调查与测评基础数据制作、指标测算及专题图编制等技术服务，保障佛山市园林城市复查工作的顺利实施。</w:t>
      </w:r>
    </w:p>
    <w:p/>
    <w:p>
      <w:pPr>
        <w:ind w:firstLine="480"/>
      </w:pPr>
    </w:p>
    <w:p/>
    <w:p>
      <w:r>
        <w:rPr/>
        <w:t>采购包1（佛山市城市绿化遥感调查与测评）</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★自合同生效之日至2024年6月完成并经验收合格。</w:t>
            </w:r>
          </w:p>
        </w:tc>
      </w:tr>
      <w:tr>
        <w:tc>
          <w:tcPr>
            <w:tcW w:type="dxa" w:w="4153"/>
          </w:tcPr>
          <w:p>
            <w:r>
              <w:rPr/>
              <w:t>标的提供的地点</w:t>
            </w:r>
          </w:p>
        </w:tc>
        <w:tc>
          <w:tcPr>
            <w:tcW w:type="dxa" w:w="4153"/>
          </w:tcPr>
          <w:p/>
          <w:p>
            <w:r>
              <w:rPr/>
              <w:t>佛山市。</w:t>
            </w:r>
          </w:p>
        </w:tc>
      </w:tr>
      <w:tr>
        <w:tc>
          <w:tcPr>
            <w:tcW w:type="dxa" w:w="4153"/>
          </w:tcPr>
          <w:p>
            <w:r>
              <w:rPr/>
              <w:t>付款方式</w:t>
            </w:r>
          </w:p>
        </w:tc>
        <w:tc>
          <w:tcPr>
            <w:tcW w:type="dxa" w:w="4153"/>
          </w:tcPr>
          <w:p/>
          <w:p/>
          <w:p>
            <w:r>
              <w:rPr/>
              <w:t>1期：支付比例30%,1.签订项目合同后5个工作日内，支付合同总额的30%。</w:t>
            </w:r>
          </w:p>
          <w:p/>
          <w:p>
            <w:r>
              <w:rPr/>
              <w:t>2期：支付比例40%,2.成交供应商提交项目成果并经专家评审通过后10日内，支付合同总额的40%。</w:t>
            </w:r>
          </w:p>
          <w:p/>
          <w:p>
            <w:r>
              <w:rPr/>
              <w:t>3期：支付比例30%,3.项目通过采购人组织的验收后10日内，支付合同总额的30%。 4.成交供应商凭以下有效文件与采购人结算： （1）合同； （2）成交供应商开具的正式发票； （3）验收报告（第三款项支付时提供）； （4）成交通知书。 成交供应商收款时必须持有效发票与采购人结算。收款方、出具发票方、合同乙方均必须与成交供应商名称一致，否则采购人有权顺延付款时间。</w:t>
            </w:r>
          </w:p>
        </w:tc>
      </w:tr>
      <w:tr>
        <w:tc>
          <w:tcPr>
            <w:tcW w:type="dxa" w:w="4153"/>
          </w:tcPr>
          <w:p>
            <w:r>
              <w:rPr/>
              <w:t>验收要求</w:t>
            </w:r>
          </w:p>
        </w:tc>
        <w:tc>
          <w:tcPr>
            <w:tcW w:type="dxa" w:w="4153"/>
          </w:tcPr>
          <w:p/>
          <w:p/>
          <w:p/>
          <w:p>
            <w:r>
              <w:rPr/>
              <w:t>1期：1.采购人按竞争性磋商文件、响应文件以及服务合同条款进行验收，验收应符合国家、广东省、佛山市或行业的有关规定。 2.项目成果须通过专家评审会评审（评审专家费用由成交供应商承担），并经采购人书面确认验收。 3.成交供应商应在验收通过后向采购人提供完整的最终成果。</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w:t>
            </w:r>
          </w:p>
          <w:p/>
          <w:p>
            <w:r>
              <w:rPr/>
              <w:t>2，★供应商须对本项目为单位的服务内容进行整体响应，任何只对其中一部分服务内容进行的响应都被视为无效响应。</w:t>
            </w: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本项目为总包干报价，包括但不限于项目编制费用、调查研究费用、专家评审费用、制作费用、资料收集、成果制作、文档和图件打印装订费用、雇员费用、税费、合理利润、风险费用及合同实施过程中的应预见和不可预见等一切费用。所有价格均应为人民币，金额单位为元。</w:t>
            </w:r>
          </w:p>
        </w:tc>
      </w:tr>
      <w:tr>
        <w:tc>
          <w:tcPr>
            <w:tcW w:type="dxa" w:w="2076"/>
          </w:tcPr>
          <w:p>
            <w:pPr>
              <w:jc w:val="center"/>
            </w:pPr>
          </w:p>
        </w:tc>
        <w:tc>
          <w:tcPr>
            <w:tcW w:type="dxa" w:w="2076"/>
          </w:tcPr>
          <w:p>
            <w:pPr>
              <w:jc w:val="center"/>
            </w:pPr>
            <w:r>
              <w:rPr/>
              <w:t>2</w:t>
            </w:r>
          </w:p>
        </w:tc>
        <w:tc>
          <w:tcPr>
            <w:tcW w:type="dxa" w:w="2076"/>
          </w:tcPr>
          <w:p>
            <w:pPr>
              <w:jc w:val="left"/>
            </w:pPr>
            <w:r>
              <w:rPr/>
              <w:t>售后服务期</w:t>
            </w:r>
          </w:p>
        </w:tc>
        <w:tc>
          <w:tcPr>
            <w:tcW w:type="dxa" w:w="2076"/>
          </w:tcPr>
          <w:p>
            <w:pPr>
              <w:jc w:val="left"/>
            </w:pPr>
            <w:r>
              <w:rPr/>
              <w:t>成交供应商需提供18个月的售后服务期，为采购人提供关于本项目的跟踪服务，主要包括：成果修改完善、技术协助等。</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测绘服务</w:t>
            </w:r>
          </w:p>
        </w:tc>
        <w:tc>
          <w:tcPr>
            <w:tcW w:type="dxa" w:w="933"/>
          </w:tcPr>
          <w:p>
            <w:pPr>
              <w:jc w:val="left"/>
            </w:pPr>
            <w:r>
              <w:rPr/>
              <w:t>佛山市城市绿化遥感调查与测评</w:t>
            </w:r>
          </w:p>
        </w:tc>
        <w:tc>
          <w:tcPr>
            <w:tcW w:type="dxa" w:w="933"/>
          </w:tcPr>
          <w:p>
            <w:pPr>
              <w:jc w:val="left"/>
            </w:pPr>
            <w:r>
              <w:rPr/>
              <w:t>项</w:t>
            </w:r>
          </w:p>
        </w:tc>
        <w:tc>
          <w:tcPr>
            <w:tcW w:type="dxa" w:w="933"/>
          </w:tcPr>
          <w:p>
            <w:pPr>
              <w:jc w:val="right"/>
            </w:pPr>
            <w:r>
              <w:rPr/>
              <w:t>1.00</w:t>
            </w:r>
          </w:p>
        </w:tc>
        <w:tc>
          <w:tcPr>
            <w:tcW w:type="dxa" w:w="933"/>
          </w:tcPr>
          <w:p>
            <w:pPr>
              <w:jc w:val="right"/>
            </w:pPr>
            <w:r>
              <w:rPr/>
              <w:t>1,500,000.00</w:t>
            </w:r>
          </w:p>
        </w:tc>
        <w:tc>
          <w:tcPr>
            <w:tcW w:type="dxa" w:w="933"/>
          </w:tcPr>
          <w:p>
            <w:pPr>
              <w:jc w:val="right"/>
            </w:pPr>
            <w:r>
              <w:rPr/>
              <w:t>1,500,000.00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佛山市城市绿化遥感调查与测评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一、建设内容与要求</w:t>
            </w:r>
            <w:r>
              <w:br/>
            </w:r>
            <w:r>
              <w:rPr/>
              <w:t>（一）卫星遥感影像获取及制作</w:t>
            </w:r>
            <w:r>
              <w:br/>
            </w:r>
            <w:r>
              <w:rPr/>
              <w:t>依据本项目工作要求，由成交供应商自行获取高分辨率卫星遥感影像（WorldView、SV-1等），然后对卫星遥感影像进行影像融合、正射纠正、镶嵌接边等处理，制作为卫星遥感正射影像数据。卫星遥感影像的主要技术要求如下：</w:t>
            </w:r>
            <w:r>
              <w:br/>
            </w:r>
            <w:r>
              <w:rPr/>
              <w:t>1.平面坐标系：佛山市2000坐标系（中央子午线113°E）；</w:t>
            </w:r>
            <w:r>
              <w:br/>
            </w:r>
            <w:r>
              <w:rPr/>
              <w:t>2.地图投影：平面坐标采用高斯-克吕格投影，按3°分带；</w:t>
            </w:r>
            <w:r>
              <w:br/>
            </w:r>
            <w:r>
              <w:rPr/>
              <w:t>3.高程基准：采用1985国家高程基准；</w:t>
            </w:r>
            <w:r>
              <w:br/>
            </w:r>
            <w:r>
              <w:rPr/>
              <w:t>4.彩色：红、绿、蓝三波段；</w:t>
            </w:r>
            <w:r>
              <w:br/>
            </w:r>
            <w:r>
              <w:rPr/>
              <w:t>5.地面分辨率：优于1米；</w:t>
            </w:r>
            <w:r>
              <w:br/>
            </w:r>
            <w:r>
              <w:rPr/>
              <w:t>6.云量：小于15%。</w:t>
            </w:r>
            <w:r>
              <w:br/>
            </w:r>
            <w:r>
              <w:rPr/>
              <w:t>（二）遥感调查与测评基础数据制作</w:t>
            </w:r>
            <w:r>
              <w:br/>
            </w:r>
            <w:r>
              <w:rPr/>
              <w:t>按照《城市绿地分类标准》等相关标准要求，采用内业方式，采集建成区内各类绿地面数据、水域、建城区绿化覆盖范围、主次干道、支道、林荫路等园林城市申报所需的基础数据，并进行分类和录入相关属性信息，建立空间数据库。主要包含以下数据：</w:t>
            </w:r>
          </w:p>
          <w:tbl>
            <w:tblPr>
              <w:tblBorders>
                <w:top w:val="none" w:color="000000" w:sz="4"/>
                <w:left w:val="none" w:color="000000" w:sz="4"/>
                <w:bottom w:val="none" w:color="000000" w:sz="4"/>
                <w:right w:val="none" w:color="000000" w:sz="4"/>
                <w:insideH w:val="none"/>
                <w:insideV w:val="none"/>
              </w:tblBorders>
            </w:tblPr>
            <w:tblGrid>
              <w:gridCol w:w="565"/>
              <w:gridCol w:w="1550"/>
              <w:gridCol w:w="3484"/>
            </w:tblGrid>
            <w:tr>
              <w:tc>
                <w:tcPr>
                  <w:tcW w:type="dxa" w:w="56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50"/>
                  <w:tcBorders>
                    <w:top w:val="single" w:color="000000" w:sz="4"/>
                    <w:left w:val="single" w:color="000000" w:sz="4"/>
                    <w:bottom w:val="single" w:color="000000" w:sz="4"/>
                    <w:right w:val="single" w:color="000000" w:sz="4"/>
                  </w:tcBorders>
                  <w:vAlign w:val="top"/>
                </w:tcPr>
                <w:p>
                  <w:pPr>
                    <w:jc w:val="center"/>
                  </w:pPr>
                  <w:r>
                    <w:rPr>
                      <w:b/>
                      <w:sz w:val="21"/>
                    </w:rPr>
                    <w:t>采集数据类型</w:t>
                  </w:r>
                </w:p>
              </w:tc>
              <w:tc>
                <w:tcPr>
                  <w:tcW w:type="dxa" w:w="3484"/>
                  <w:tcBorders>
                    <w:top w:val="single" w:color="000000" w:sz="4"/>
                    <w:left w:val="single" w:color="000000" w:sz="4"/>
                    <w:bottom w:val="single" w:color="000000" w:sz="4"/>
                    <w:right w:val="single" w:color="000000" w:sz="4"/>
                  </w:tcBorders>
                  <w:vAlign w:val="top"/>
                </w:tcPr>
                <w:p>
                  <w:pPr>
                    <w:jc w:val="center"/>
                  </w:pPr>
                  <w:r>
                    <w:rPr>
                      <w:b/>
                      <w:sz w:val="21"/>
                    </w:rPr>
                    <w:t>采集内容</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50"/>
                  <w:tcBorders>
                    <w:top w:val="none" w:color="000000" w:sz="4"/>
                    <w:left w:val="single" w:color="000000" w:sz="4"/>
                    <w:bottom w:val="single" w:color="000000" w:sz="4"/>
                    <w:right w:val="single" w:color="000000" w:sz="4"/>
                  </w:tcBorders>
                  <w:vAlign w:val="top"/>
                </w:tcPr>
                <w:p>
                  <w:pPr>
                    <w:jc w:val="center"/>
                  </w:pPr>
                  <w:r>
                    <w:rPr>
                      <w:sz w:val="21"/>
                    </w:rPr>
                    <w:t>建成区内各类绿地面数据</w:t>
                  </w:r>
                </w:p>
              </w:tc>
              <w:tc>
                <w:tcPr>
                  <w:tcW w:type="dxa" w:w="3484"/>
                  <w:tcBorders>
                    <w:top w:val="none" w:color="000000" w:sz="4"/>
                    <w:left w:val="single" w:color="000000" w:sz="4"/>
                    <w:bottom w:val="single" w:color="000000" w:sz="4"/>
                    <w:right w:val="single" w:color="000000" w:sz="4"/>
                  </w:tcBorders>
                  <w:vAlign w:val="top"/>
                </w:tcPr>
                <w:p>
                  <w:pPr>
                    <w:jc w:val="left"/>
                  </w:pPr>
                  <w:r>
                    <w:rPr>
                      <w:sz w:val="21"/>
                    </w:rPr>
                    <w:t>以地形图和影像图为底图，依据《城市绿地分类标准》，圈出建成区内各类绿地范围，同时进行分类和录入相关属性信息，建立绿地空间数据库，并测算各类绿地数据。</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50"/>
                  <w:tcBorders>
                    <w:top w:val="none" w:color="000000" w:sz="4"/>
                    <w:left w:val="single" w:color="000000" w:sz="4"/>
                    <w:bottom w:val="single" w:color="000000" w:sz="4"/>
                    <w:right w:val="single" w:color="000000" w:sz="4"/>
                  </w:tcBorders>
                  <w:vAlign w:val="top"/>
                </w:tcPr>
                <w:p>
                  <w:pPr>
                    <w:jc w:val="center"/>
                  </w:pPr>
                  <w:r>
                    <w:rPr>
                      <w:sz w:val="21"/>
                    </w:rPr>
                    <w:t>建城区绿化覆盖范围数据</w:t>
                  </w:r>
                </w:p>
              </w:tc>
              <w:tc>
                <w:tcPr>
                  <w:tcW w:type="dxa" w:w="3484"/>
                  <w:tcBorders>
                    <w:top w:val="none" w:color="000000" w:sz="4"/>
                    <w:left w:val="single" w:color="000000" w:sz="4"/>
                    <w:bottom w:val="single" w:color="000000" w:sz="4"/>
                    <w:right w:val="single" w:color="000000" w:sz="4"/>
                  </w:tcBorders>
                  <w:vAlign w:val="top"/>
                </w:tcPr>
                <w:p>
                  <w:pPr>
                    <w:jc w:val="left"/>
                  </w:pPr>
                  <w:r>
                    <w:rPr>
                      <w:sz w:val="21"/>
                    </w:rPr>
                    <w:t>以影像图为底图，圈出建成区内植被垂直投影范围，测算建成区内植被垂直投影面积。</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50"/>
                  <w:tcBorders>
                    <w:top w:val="none" w:color="000000" w:sz="4"/>
                    <w:left w:val="single" w:color="000000" w:sz="4"/>
                    <w:bottom w:val="single" w:color="000000" w:sz="4"/>
                    <w:right w:val="single" w:color="000000" w:sz="4"/>
                  </w:tcBorders>
                  <w:vAlign w:val="top"/>
                </w:tcPr>
                <w:p>
                  <w:pPr>
                    <w:jc w:val="center"/>
                  </w:pPr>
                  <w:r>
                    <w:rPr>
                      <w:sz w:val="21"/>
                    </w:rPr>
                    <w:t>建成区内城市次干路、支路及林荫路长度</w:t>
                  </w:r>
                </w:p>
              </w:tc>
              <w:tc>
                <w:tcPr>
                  <w:tcW w:type="dxa" w:w="3484"/>
                  <w:tcBorders>
                    <w:top w:val="none" w:color="000000" w:sz="4"/>
                    <w:left w:val="single" w:color="000000" w:sz="4"/>
                    <w:bottom w:val="single" w:color="000000" w:sz="4"/>
                    <w:right w:val="single" w:color="000000" w:sz="4"/>
                  </w:tcBorders>
                  <w:vAlign w:val="top"/>
                </w:tcPr>
                <w:p>
                  <w:pPr>
                    <w:jc w:val="left"/>
                  </w:pPr>
                  <w:r>
                    <w:rPr>
                      <w:sz w:val="21"/>
                    </w:rPr>
                    <w:t>以地形图为底图，绘出建成区内城市次干路、支路中心线，录入道路名称等属性信息。以影像图为底图，以道路中心线为基础，测算林荫路长度。</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50"/>
                  <w:tcBorders>
                    <w:top w:val="none" w:color="000000" w:sz="4"/>
                    <w:left w:val="single" w:color="000000" w:sz="4"/>
                    <w:bottom w:val="single" w:color="000000" w:sz="4"/>
                    <w:right w:val="single" w:color="000000" w:sz="4"/>
                  </w:tcBorders>
                  <w:vAlign w:val="top"/>
                </w:tcPr>
                <w:p>
                  <w:pPr>
                    <w:jc w:val="center"/>
                  </w:pPr>
                  <w:r>
                    <w:rPr>
                      <w:sz w:val="21"/>
                    </w:rPr>
                    <w:t>建成区各类水域数据</w:t>
                  </w:r>
                </w:p>
              </w:tc>
              <w:tc>
                <w:tcPr>
                  <w:tcW w:type="dxa" w:w="3484"/>
                  <w:tcBorders>
                    <w:top w:val="none" w:color="000000" w:sz="4"/>
                    <w:left w:val="single" w:color="000000" w:sz="4"/>
                    <w:bottom w:val="single" w:color="000000" w:sz="4"/>
                    <w:right w:val="single" w:color="000000" w:sz="4"/>
                  </w:tcBorders>
                  <w:vAlign w:val="top"/>
                </w:tcPr>
                <w:p>
                  <w:pPr>
                    <w:jc w:val="left"/>
                  </w:pPr>
                  <w:r>
                    <w:rPr>
                      <w:sz w:val="21"/>
                    </w:rPr>
                    <w:t>以地形图和影像图为底图，圈出建成区内各类水域数据，并进行分类和录入相关属性信息，测算水域面积。</w:t>
                  </w:r>
                </w:p>
              </w:tc>
            </w:tr>
          </w:tbl>
          <w:p>
            <w:r>
              <w:rPr/>
              <w:t>（三）建城区绿道采集建库及数据分析</w:t>
            </w:r>
            <w:r>
              <w:br/>
            </w:r>
            <w:r>
              <w:rPr/>
              <w:t>采用内业为主，外业为辅的作业手段，采集现状建成区绿道，按相关标准要求分类并录入相关属性信息，建立绿道空间数据库。依据绿道空间数据库，分析并测算建成区城市绿道服务半径覆盖率等指标。</w:t>
            </w:r>
            <w:r>
              <w:br/>
            </w:r>
            <w:r>
              <w:rPr/>
              <w:t>（四）数据资料收集、分析及指标测算</w:t>
            </w:r>
            <w:r>
              <w:br/>
            </w:r>
            <w:r>
              <w:rPr/>
              <w:t>收集人口、土地利用、居住区（小区）、古树名木等相关数据资料，结合遥感调查与测评基础数据，按国家园林城市复验的申报要求，对数据进行叠加分析和规整处理，测算各类地物的面积数据，并计算出国家园林城市申报所需的各项评选指标，作为申报参考资料。具体包含以下指标的测算：</w:t>
            </w:r>
          </w:p>
          <w:tbl>
            <w:tblPr>
              <w:tblBorders>
                <w:top w:val="none" w:color="000000" w:sz="4"/>
                <w:left w:val="none" w:color="000000" w:sz="4"/>
                <w:bottom w:val="none" w:color="000000" w:sz="4"/>
                <w:right w:val="none" w:color="000000" w:sz="4"/>
                <w:insideH w:val="none"/>
                <w:insideV w:val="none"/>
              </w:tblBorders>
            </w:tblPr>
            <w:tblGrid>
              <w:gridCol w:w="980"/>
              <w:gridCol w:w="4617"/>
            </w:tblGrid>
            <w:tr>
              <w:tc>
                <w:tcPr>
                  <w:tcW w:type="dxa" w:w="98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617"/>
                  <w:tcBorders>
                    <w:top w:val="single" w:color="000000" w:sz="4"/>
                    <w:left w:val="single" w:color="000000" w:sz="4"/>
                    <w:bottom w:val="single" w:color="000000" w:sz="4"/>
                    <w:right w:val="single" w:color="000000" w:sz="4"/>
                  </w:tcBorders>
                  <w:vAlign w:val="top"/>
                </w:tcPr>
                <w:p>
                  <w:pPr>
                    <w:jc w:val="center"/>
                  </w:pPr>
                  <w:r>
                    <w:rPr>
                      <w:b/>
                      <w:sz w:val="21"/>
                    </w:rPr>
                    <w:t>指标</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城市绿地率</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城市绿化覆盖率</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人均公园绿地面积</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公园绿化活动场地服务半径覆盖率</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城市绿道服务半径覆盖率</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10万人拥有综合公园个数</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城市生态廊道达标率</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城市生物多样性保护达标率</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城市林荫路覆盖率</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城市道路绿化达标率</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立体绿化实施率</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园林式居住区（单位）</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建成区蓝绿空间占比</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防灾避险绿地设施达标率</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城市湿地保护实施率</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具有历史价值的公园保护率</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4617"/>
                  <w:tcBorders>
                    <w:top w:val="none" w:color="000000" w:sz="4"/>
                    <w:left w:val="single" w:color="000000" w:sz="4"/>
                    <w:bottom w:val="single" w:color="000000" w:sz="4"/>
                    <w:right w:val="single" w:color="000000" w:sz="4"/>
                  </w:tcBorders>
                  <w:vAlign w:val="top"/>
                </w:tcPr>
                <w:p>
                  <w:pPr>
                    <w:jc w:val="center"/>
                  </w:pPr>
                  <w:r>
                    <w:rPr>
                      <w:sz w:val="21"/>
                    </w:rPr>
                    <w:t>古树名木及后备资源保护率</w:t>
                  </w:r>
                </w:p>
              </w:tc>
            </w:tr>
          </w:tbl>
          <w:p>
            <w:r>
              <w:rPr/>
              <w:t>（五）专题图及绿化遥感影像测评报告编制</w:t>
            </w:r>
            <w:r>
              <w:br/>
            </w:r>
            <w:r>
              <w:rPr/>
              <w:t>依据《国家园林城市申报与评选管理办法》（建城〔2022〕2号）附件2的“遥感调查与测评基础材料内容与要求”，通过数据提取、数据处理、符号设计、图面配色、图面整饰等步骤编制各类园林城市申报专题图，为园林城市申报提供佐证材料。同时依据绿化遥感调查数据，编制“绿化遥感影像测评报告”。（如有最新标准，按最新标准执行。）</w:t>
            </w:r>
            <w:r>
              <w:br/>
            </w:r>
            <w:r>
              <w:rPr/>
              <w:t>（六）后期需补充内容</w:t>
            </w:r>
            <w:r>
              <w:br/>
            </w:r>
            <w:r>
              <w:rPr/>
              <w:t>在售后服务期内，如涉及建成区范围调整，需对“（四）数据资料收集、分析及指标测算”中列明的17个指标测算进行相应调整。</w:t>
            </w:r>
          </w:p>
          <w:p>
            <w:r>
              <w:rPr/>
              <w:t xml:space="preserve"> </w:t>
            </w:r>
          </w:p>
          <w:p>
            <w:r>
              <w:rPr/>
              <w:t xml:space="preserve"> </w:t>
            </w:r>
          </w:p>
          <w:p>
            <w:r>
              <w:rPr/>
              <w:t xml:space="preserve"> </w:t>
            </w:r>
          </w:p>
        </w:tc>
      </w:tr>
      <w:tr>
        <w:tc>
          <w:tcPr>
            <w:tcW w:type="dxa" w:w="2076"/>
          </w:tcPr>
          <w:p/>
        </w:tc>
        <w:tc>
          <w:tcPr>
            <w:tcW w:type="dxa" w:w="415"/>
          </w:tcPr>
          <w:p>
            <w:r>
              <w:rPr/>
              <w:t>2</w:t>
            </w:r>
          </w:p>
        </w:tc>
        <w:tc>
          <w:tcPr>
            <w:tcW w:type="dxa" w:w="5814"/>
          </w:tcPr>
          <w:p>
            <w:r>
              <w:rPr/>
              <w:t>二、技术标准</w:t>
            </w:r>
            <w:r>
              <w:br/>
            </w:r>
            <w:r>
              <w:rPr/>
              <w:t>1.《中华人民共和国测绘法》；</w:t>
            </w:r>
            <w:r>
              <w:br/>
            </w:r>
            <w:r>
              <w:rPr/>
              <w:t>2.《地图管理条例》；</w:t>
            </w:r>
            <w:r>
              <w:br/>
            </w:r>
            <w:r>
              <w:rPr/>
              <w:t>3.《中华人民共和国地图编制出版管理条例》；</w:t>
            </w:r>
            <w:r>
              <w:br/>
            </w:r>
            <w:r>
              <w:rPr/>
              <w:t>4.《基础测绘条例》；</w:t>
            </w:r>
            <w:r>
              <w:br/>
            </w:r>
            <w:r>
              <w:rPr/>
              <w:t>5.《测绘地理信息质量管理办法》；</w:t>
            </w:r>
            <w:r>
              <w:br/>
            </w:r>
            <w:r>
              <w:rPr/>
              <w:t>6.《广东省测绘条例》；</w:t>
            </w:r>
            <w:r>
              <w:br/>
            </w:r>
            <w:r>
              <w:rPr/>
              <w:t>7.《1:500 1:1000 1:2000地形图航空摄影规范》（GB/T 6962-2005）</w:t>
            </w:r>
            <w:r>
              <w:br/>
            </w:r>
            <w:r>
              <w:rPr/>
              <w:t>8.《基础地理信息数字成果1：500 1：1000 1：2000 数字正射影像图》（CH/T 9008.3-2010）；</w:t>
            </w:r>
            <w:r>
              <w:br/>
            </w:r>
            <w:r>
              <w:rPr/>
              <w:t>9.《测绘成果质量检查与验收》（GB/T 24356-2009）；</w:t>
            </w:r>
            <w:r>
              <w:br/>
            </w:r>
            <w:r>
              <w:rPr/>
              <w:t>10.《数字测绘成果质量检查与验收》（GB/T 18316-2008)；</w:t>
            </w:r>
            <w:r>
              <w:br/>
            </w:r>
            <w:r>
              <w:rPr/>
              <w:t>11.《住房和城乡建设部关于印发国家园林城市申报与评选管理办法的通知》（建城〔2022〕2号）；</w:t>
            </w:r>
            <w:r>
              <w:br/>
            </w:r>
            <w:r>
              <w:rPr/>
              <w:t>12.如有最新标准，按最新标准执行。</w:t>
            </w:r>
          </w:p>
        </w:tc>
      </w:tr>
      <w:tr>
        <w:tc>
          <w:tcPr>
            <w:tcW w:type="dxa" w:w="2076"/>
          </w:tcPr>
          <w:p/>
        </w:tc>
        <w:tc>
          <w:tcPr>
            <w:tcW w:type="dxa" w:w="415"/>
          </w:tcPr>
          <w:p>
            <w:r>
              <w:rPr/>
              <w:t>3</w:t>
            </w:r>
          </w:p>
        </w:tc>
        <w:tc>
          <w:tcPr>
            <w:tcW w:type="dxa" w:w="5814"/>
          </w:tcPr>
          <w:p>
            <w:r>
              <w:rPr/>
              <w:t>三、成果要求</w:t>
            </w:r>
          </w:p>
          <w:tbl>
            <w:tblPr>
              <w:tblBorders>
                <w:top w:val="none" w:color="000000" w:sz="4"/>
                <w:left w:val="none" w:color="000000" w:sz="4"/>
                <w:bottom w:val="none" w:color="000000" w:sz="4"/>
                <w:right w:val="none" w:color="000000" w:sz="4"/>
                <w:insideH w:val="none"/>
                <w:insideV w:val="none"/>
              </w:tblBorders>
            </w:tblPr>
            <w:tblGrid>
              <w:gridCol w:w="504"/>
              <w:gridCol w:w="2829"/>
              <w:gridCol w:w="940"/>
              <w:gridCol w:w="1325"/>
            </w:tblGrid>
            <w:tr>
              <w:tc>
                <w:tcPr>
                  <w:tcW w:type="dxa" w:w="504"/>
                  <w:tcBorders>
                    <w:top w:val="single" w:color="000000" w:sz="4"/>
                    <w:left w:val="single" w:color="000000" w:sz="4"/>
                    <w:bottom w:val="single" w:color="000000" w:sz="4"/>
                    <w:right w:val="single" w:color="000000" w:sz="4"/>
                  </w:tcBorders>
                  <w:shd w:fill="7F7F7F"/>
                  <w:vAlign w:val="top"/>
                </w:tcPr>
                <w:p>
                  <w:pPr>
                    <w:jc w:val="center"/>
                  </w:pPr>
                  <w:r>
                    <w:rPr>
                      <w:b/>
                      <w:sz w:val="21"/>
                    </w:rPr>
                    <w:t>序号</w:t>
                  </w:r>
                </w:p>
              </w:tc>
              <w:tc>
                <w:tcPr>
                  <w:tcW w:type="dxa" w:w="2829"/>
                  <w:tcBorders>
                    <w:top w:val="single" w:color="000000" w:sz="4"/>
                    <w:left w:val="single" w:color="000000" w:sz="4"/>
                    <w:bottom w:val="single" w:color="000000" w:sz="4"/>
                    <w:right w:val="single" w:color="000000" w:sz="4"/>
                  </w:tcBorders>
                  <w:shd w:fill="7F7F7F"/>
                  <w:vAlign w:val="top"/>
                </w:tcPr>
                <w:p>
                  <w:pPr>
                    <w:jc w:val="center"/>
                  </w:pPr>
                  <w:r>
                    <w:rPr>
                      <w:b/>
                      <w:sz w:val="21"/>
                    </w:rPr>
                    <w:t>成果内容</w:t>
                  </w:r>
                </w:p>
              </w:tc>
              <w:tc>
                <w:tcPr>
                  <w:tcW w:type="dxa" w:w="940"/>
                  <w:tcBorders>
                    <w:top w:val="single" w:color="000000" w:sz="4"/>
                    <w:left w:val="single" w:color="000000" w:sz="4"/>
                    <w:bottom w:val="single" w:color="000000" w:sz="4"/>
                    <w:right w:val="single" w:color="000000" w:sz="4"/>
                  </w:tcBorders>
                  <w:shd w:fill="7F7F7F"/>
                  <w:vAlign w:val="top"/>
                </w:tcPr>
                <w:p>
                  <w:pPr>
                    <w:jc w:val="center"/>
                  </w:pPr>
                  <w:r>
                    <w:rPr>
                      <w:b/>
                      <w:sz w:val="21"/>
                    </w:rPr>
                    <w:t>数量</w:t>
                  </w:r>
                </w:p>
              </w:tc>
              <w:tc>
                <w:tcPr>
                  <w:tcW w:type="dxa" w:w="1325"/>
                  <w:tcBorders>
                    <w:top w:val="single" w:color="000000" w:sz="4"/>
                    <w:left w:val="single" w:color="000000" w:sz="4"/>
                    <w:bottom w:val="single" w:color="000000" w:sz="4"/>
                    <w:right w:val="single" w:color="000000" w:sz="4"/>
                  </w:tcBorders>
                  <w:shd w:fill="7F7F7F"/>
                  <w:vAlign w:val="top"/>
                </w:tcPr>
                <w:p>
                  <w:pPr>
                    <w:jc w:val="center"/>
                  </w:pPr>
                  <w:r>
                    <w:rPr>
                      <w:b/>
                      <w:sz w:val="21"/>
                    </w:rPr>
                    <w:t>提交格式</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9"/>
                  <w:tcBorders>
                    <w:top w:val="none" w:color="000000" w:sz="4"/>
                    <w:left w:val="single" w:color="000000" w:sz="4"/>
                    <w:bottom w:val="single" w:color="000000" w:sz="4"/>
                    <w:right w:val="single" w:color="000000" w:sz="4"/>
                  </w:tcBorders>
                  <w:vAlign w:val="top"/>
                </w:tcPr>
                <w:p>
                  <w:pPr>
                    <w:jc w:val="center"/>
                  </w:pPr>
                  <w:r>
                    <w:rPr>
                      <w:sz w:val="21"/>
                    </w:rPr>
                    <w:t>项目实施方案</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1325"/>
                  <w:tcBorders>
                    <w:top w:val="none" w:color="000000" w:sz="4"/>
                    <w:left w:val="single" w:color="000000" w:sz="4"/>
                    <w:bottom w:val="single" w:color="000000" w:sz="4"/>
                    <w:right w:val="single" w:color="000000" w:sz="4"/>
                  </w:tcBorders>
                  <w:vAlign w:val="top"/>
                </w:tcPr>
                <w:p>
                  <w:pPr>
                    <w:jc w:val="center"/>
                  </w:pPr>
                  <w:r>
                    <w:rPr>
                      <w:sz w:val="21"/>
                    </w:rPr>
                    <w:t>纸质打印盖章</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9"/>
                  <w:tcBorders>
                    <w:top w:val="none" w:color="000000" w:sz="4"/>
                    <w:left w:val="single" w:color="000000" w:sz="4"/>
                    <w:bottom w:val="single" w:color="000000" w:sz="4"/>
                    <w:right w:val="single" w:color="000000" w:sz="4"/>
                  </w:tcBorders>
                  <w:vAlign w:val="top"/>
                </w:tcPr>
                <w:p>
                  <w:pPr>
                    <w:jc w:val="center"/>
                  </w:pPr>
                  <w:r>
                    <w:rPr>
                      <w:sz w:val="21"/>
                    </w:rPr>
                    <w:t>项目总结</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1325"/>
                  <w:tcBorders>
                    <w:top w:val="none" w:color="000000" w:sz="4"/>
                    <w:left w:val="single" w:color="000000" w:sz="4"/>
                    <w:bottom w:val="single" w:color="000000" w:sz="4"/>
                    <w:right w:val="single" w:color="000000" w:sz="4"/>
                  </w:tcBorders>
                  <w:vAlign w:val="top"/>
                </w:tcPr>
                <w:p>
                  <w:pPr>
                    <w:jc w:val="center"/>
                  </w:pPr>
                  <w:r>
                    <w:rPr>
                      <w:sz w:val="21"/>
                    </w:rPr>
                    <w:t>纸质打印盖章</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29"/>
                  <w:tcBorders>
                    <w:top w:val="none" w:color="000000" w:sz="4"/>
                    <w:left w:val="single" w:color="000000" w:sz="4"/>
                    <w:bottom w:val="single" w:color="000000" w:sz="4"/>
                    <w:right w:val="single" w:color="000000" w:sz="4"/>
                  </w:tcBorders>
                  <w:vAlign w:val="top"/>
                </w:tcPr>
                <w:p>
                  <w:pPr>
                    <w:jc w:val="center"/>
                  </w:pPr>
                  <w:r>
                    <w:rPr>
                      <w:sz w:val="21"/>
                    </w:rPr>
                    <w:t>遥感调查与测评基础数据库</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1325"/>
                  <w:tcBorders>
                    <w:top w:val="none" w:color="000000" w:sz="4"/>
                    <w:left w:val="single" w:color="000000" w:sz="4"/>
                    <w:bottom w:val="single" w:color="000000" w:sz="4"/>
                    <w:right w:val="single" w:color="000000" w:sz="4"/>
                  </w:tcBorders>
                  <w:vAlign w:val="top"/>
                </w:tcPr>
                <w:p>
                  <w:pPr>
                    <w:jc w:val="center"/>
                  </w:pPr>
                  <w:r>
                    <w:rPr>
                      <w:sz w:val="21"/>
                    </w:rPr>
                    <w:t>电子数据</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29"/>
                  <w:tcBorders>
                    <w:top w:val="none" w:color="000000" w:sz="4"/>
                    <w:left w:val="single" w:color="000000" w:sz="4"/>
                    <w:bottom w:val="single" w:color="000000" w:sz="4"/>
                    <w:right w:val="single" w:color="000000" w:sz="4"/>
                  </w:tcBorders>
                  <w:vAlign w:val="top"/>
                </w:tcPr>
                <w:p>
                  <w:pPr>
                    <w:jc w:val="center"/>
                  </w:pPr>
                  <w:r>
                    <w:rPr>
                      <w:sz w:val="21"/>
                    </w:rPr>
                    <w:t>绿道数据库</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1325"/>
                  <w:tcBorders>
                    <w:top w:val="none" w:color="000000" w:sz="4"/>
                    <w:left w:val="single" w:color="000000" w:sz="4"/>
                    <w:bottom w:val="single" w:color="000000" w:sz="4"/>
                    <w:right w:val="single" w:color="000000" w:sz="4"/>
                  </w:tcBorders>
                  <w:vAlign w:val="top"/>
                </w:tcPr>
                <w:p>
                  <w:pPr>
                    <w:jc w:val="center"/>
                  </w:pPr>
                  <w:r>
                    <w:rPr>
                      <w:sz w:val="21"/>
                    </w:rPr>
                    <w:t>电子数据</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829"/>
                  <w:tcBorders>
                    <w:top w:val="none" w:color="000000" w:sz="4"/>
                    <w:left w:val="single" w:color="000000" w:sz="4"/>
                    <w:bottom w:val="single" w:color="000000" w:sz="4"/>
                    <w:right w:val="single" w:color="000000" w:sz="4"/>
                  </w:tcBorders>
                  <w:vAlign w:val="top"/>
                </w:tcPr>
                <w:p>
                  <w:pPr>
                    <w:jc w:val="center"/>
                  </w:pPr>
                  <w:r>
                    <w:rPr>
                      <w:sz w:val="21"/>
                    </w:rPr>
                    <w:t>数据分析及指标测算报告</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1325"/>
                  <w:tcBorders>
                    <w:top w:val="none" w:color="000000" w:sz="4"/>
                    <w:left w:val="single" w:color="000000" w:sz="4"/>
                    <w:bottom w:val="single" w:color="000000" w:sz="4"/>
                    <w:right w:val="single" w:color="000000" w:sz="4"/>
                  </w:tcBorders>
                  <w:vAlign w:val="top"/>
                </w:tcPr>
                <w:p>
                  <w:pPr>
                    <w:jc w:val="center"/>
                  </w:pPr>
                  <w:r>
                    <w:rPr>
                      <w:sz w:val="21"/>
                    </w:rPr>
                    <w:t>纸质打印盖章</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29"/>
                  <w:tcBorders>
                    <w:top w:val="none" w:color="000000" w:sz="4"/>
                    <w:left w:val="single" w:color="000000" w:sz="4"/>
                    <w:bottom w:val="single" w:color="000000" w:sz="4"/>
                    <w:right w:val="single" w:color="000000" w:sz="4"/>
                  </w:tcBorders>
                  <w:vAlign w:val="top"/>
                </w:tcPr>
                <w:p>
                  <w:pPr>
                    <w:jc w:val="center"/>
                  </w:pPr>
                  <w:r>
                    <w:rPr>
                      <w:sz w:val="21"/>
                    </w:rPr>
                    <w:t>专题图编制成果</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10套</w:t>
                  </w:r>
                </w:p>
              </w:tc>
              <w:tc>
                <w:tcPr>
                  <w:tcW w:type="dxa" w:w="1325"/>
                  <w:tcBorders>
                    <w:top w:val="none" w:color="000000" w:sz="4"/>
                    <w:left w:val="single" w:color="000000" w:sz="4"/>
                    <w:bottom w:val="single" w:color="000000" w:sz="4"/>
                    <w:right w:val="single" w:color="000000" w:sz="4"/>
                  </w:tcBorders>
                  <w:vAlign w:val="top"/>
                </w:tcPr>
                <w:p>
                  <w:pPr>
                    <w:jc w:val="center"/>
                  </w:pPr>
                  <w:r>
                    <w:rPr>
                      <w:sz w:val="21"/>
                    </w:rPr>
                    <w:t>电子数据及纸质打印数据</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829"/>
                  <w:tcBorders>
                    <w:top w:val="none" w:color="000000" w:sz="4"/>
                    <w:left w:val="single" w:color="000000" w:sz="4"/>
                    <w:bottom w:val="single" w:color="000000" w:sz="4"/>
                    <w:right w:val="single" w:color="000000" w:sz="4"/>
                  </w:tcBorders>
                  <w:vAlign w:val="top"/>
                </w:tcPr>
                <w:p>
                  <w:pPr>
                    <w:jc w:val="center"/>
                  </w:pPr>
                  <w:r>
                    <w:rPr>
                      <w:sz w:val="21"/>
                    </w:rPr>
                    <w:t>绿化遥感影像测评报告</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10套</w:t>
                  </w:r>
                </w:p>
              </w:tc>
              <w:tc>
                <w:tcPr>
                  <w:tcW w:type="dxa" w:w="1325"/>
                  <w:tcBorders>
                    <w:top w:val="none" w:color="000000" w:sz="4"/>
                    <w:left w:val="single" w:color="000000" w:sz="4"/>
                    <w:bottom w:val="single" w:color="000000" w:sz="4"/>
                    <w:right w:val="single" w:color="000000" w:sz="4"/>
                  </w:tcBorders>
                  <w:vAlign w:val="top"/>
                </w:tcPr>
                <w:p>
                  <w:pPr>
                    <w:jc w:val="center"/>
                  </w:pPr>
                  <w:r>
                    <w:rPr>
                      <w:sz w:val="21"/>
                    </w:rPr>
                    <w:t>电子数据及纸质打印数据</w:t>
                  </w:r>
                </w:p>
              </w:tc>
            </w:tr>
          </w:tbl>
          <w:p>
            <w:r>
              <w:rPr/>
              <w:t>说明：以上提交成果资料必须符合住房和城乡建设部的园林城市复验申报的各项要求。</w:t>
            </w:r>
          </w:p>
        </w:tc>
      </w:tr>
      <w:tr>
        <w:tc>
          <w:tcPr>
            <w:tcW w:type="dxa" w:w="2076"/>
          </w:tcPr>
          <w:p/>
        </w:tc>
        <w:tc>
          <w:tcPr>
            <w:tcW w:type="dxa" w:w="415"/>
          </w:tcPr>
          <w:p>
            <w:r>
              <w:rPr/>
              <w:t>4</w:t>
            </w:r>
          </w:p>
        </w:tc>
        <w:tc>
          <w:tcPr>
            <w:tcW w:type="dxa" w:w="5814"/>
          </w:tcPr>
          <w:p>
            <w:r>
              <w:rPr/>
              <w:t>四、项目人员要求</w:t>
            </w:r>
            <w:r>
              <w:br/>
            </w:r>
            <w:r>
              <w:rPr/>
              <w:t>成交供应商应配备与本项目采购内容相对应的人员投入本项目。项目实施期间，未经采购人书面同意，不得变更项目负责人，不得调整在响应文件中所承诺的项目实施人员。未经采购人书面同意，成交供应商变更项目负责人或调整项目组实施人员，视为成交供应商违约，采购人有权要求成交供应商支付合同总额5%的违约金。</w:t>
            </w:r>
          </w:p>
        </w:tc>
      </w:tr>
      <w:tr>
        <w:tc>
          <w:tcPr>
            <w:tcW w:type="dxa" w:w="2076"/>
          </w:tcPr>
          <w:p/>
        </w:tc>
        <w:tc>
          <w:tcPr>
            <w:tcW w:type="dxa" w:w="415"/>
          </w:tcPr>
          <w:p>
            <w:r>
              <w:rPr/>
              <w:t>5</w:t>
            </w:r>
          </w:p>
        </w:tc>
        <w:tc>
          <w:tcPr>
            <w:tcW w:type="dxa" w:w="5814"/>
          </w:tcPr>
          <w:p>
            <w:r>
              <w:rPr/>
              <w:t>五、项目保密要求</w:t>
            </w:r>
            <w:r>
              <w:br/>
            </w:r>
            <w:r>
              <w:rPr/>
              <w:t>成交供应商应对本项目实施过程中涉及的技术方案、数据资源、文件资料及合同具体内容等项目相关资料进行保密，本项目涉及的地形图等基础测绘成果，需符合住房和城乡建设部的园林城市复验申报的保密处理要求。未经过采购人书面文件许可，成交供应商不得以任何方式向第三方透露，且保密责任不因合同的中止或解除而失效。如有关技术文档和数据资料被泄密，给采购人造成损失的,成交供应商应承担赔偿责任；构成犯罪的,依法追究成交供应商刑事责任。</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佛山市城市管理和综合执法局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采购机构代理服务收费标准：差额定率累进法收费，参照国家计委《招标代理服务收费管理暂行办法》（计价格[2002]1980号）、国家发改委[2003]857号及发改价格[2011]534号文件中规定的“服务类”计算。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1，温馨提示：因本项目为竞争性磋商方式，需要进行最终报价，磋商时，响应供应商自行登录系统进行最终报价。</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4，本竞争性磋商文件内要求的扫描件或复印件，可以是原件的扫描件，也可以是复印件的扫描件。扫描件性质上可视为复印件。</w:t>
            </w:r>
          </w:p>
          <w:p>
            <w:pPr>
              <w:jc w:val="left"/>
            </w:pPr>
            <w:r>
              <w:rPr/>
              <w:t>5，最终报价是否需要响应供应商加盖公章以磋商时磋商小组系统设置为准，如本竞争性磋商文件与此描述有不一致的，以此描述为准。</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佛山市公共资源交易网（http://ggzy.foshan.gov.cn/）及采购代理机构网站（www.fssxyzx.com）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佛山市公共资源交易网（http://ggzy.foshan.gov.cn/）及采购代理机构网站（www.fssxyzx.com）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0757-83279001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佛山市城市绿化遥感调查与测评)：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采购包1（佛山市城市绿化遥感调查与测评）：</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采购包1（佛山市城市绿化遥感调查与测评）：</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提供响应文件递交截止日前6个月内（含截止日当月）任意1个月缴纳税收和社会保险的凭据证明材料复印件；如依法免税或不需要缴纳社会保障资金的，提供相应证明材料。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复印件，或响应文件递交截止日前6个月内（不含截止日当月）任意1个月的财务状况报告复印件，或响应文件递交截止日前6个月内（含截止日当月）基本开户行出具的资信证明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特定资格要求</w:t>
            </w:r>
          </w:p>
        </w:tc>
        <w:tc>
          <w:tcPr>
            <w:tcW w:type="dxa" w:w="4238"/>
          </w:tcPr>
          <w:p>
            <w:r>
              <w:rPr/>
              <w:t>供应商须具有有效的乙级（或以上）测绘资质证书，且测绘资质专业范围须同时包含“摄影测量与遥感”和“地理信息系统工程”。</w:t>
            </w:r>
          </w:p>
        </w:tc>
      </w:tr>
      <w:tr>
        <w:tc>
          <w:tcPr>
            <w:tcW w:type="dxa" w:w="890"/>
          </w:tcPr>
          <w:p>
            <w:r>
              <w:rPr/>
              <w:t>9</w:t>
            </w:r>
          </w:p>
        </w:tc>
        <w:tc>
          <w:tcPr>
            <w:tcW w:type="dxa" w:w="3178"/>
          </w:tcPr>
          <w:p>
            <w:r>
              <w:rPr/>
              <w:t>本采购包专门面向中小企业采购</w:t>
            </w:r>
          </w:p>
        </w:tc>
        <w:tc>
          <w:tcPr>
            <w:tcW w:type="dxa" w:w="4238"/>
          </w:tcPr>
          <w:p>
            <w:r>
              <w:rPr/>
              <w:t>供应商须为符合划分标准的中小企业（监狱企业、残疾人福利单位视同小型、微型企业）。本项目行业为：其他未列明行业。中小企业以供应商填写的《中小企业声明函》【见响应文件格式与要求】为判定标准，残疾人福利性单位以供应商填写的《残疾人福利性单位声明函》【见响应文件格式与要求】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采购包1（佛山市城市绿化遥感调查与测评）：</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无效情形</w:t>
            </w:r>
          </w:p>
        </w:tc>
        <w:tc>
          <w:tcPr>
            <w:tcW w:type="dxa" w:w="4238"/>
          </w:tcPr>
          <w:p>
            <w:r>
              <w:rPr/>
              <w:t>响应文件没有竞争性磋商文件中规定的其它无效投标条款的；</w:t>
            </w:r>
          </w:p>
        </w:tc>
      </w:tr>
      <w:tr>
        <w:tc>
          <w:tcPr>
            <w:tcW w:type="dxa" w:w="890"/>
          </w:tcPr>
          <w:p>
            <w:r>
              <w:rPr/>
              <w:t>5</w:t>
            </w:r>
          </w:p>
        </w:tc>
        <w:tc>
          <w:tcPr>
            <w:tcW w:type="dxa" w:w="3178"/>
          </w:tcPr>
          <w:p>
            <w:r>
              <w:rPr/>
              <w:t>其他</w:t>
            </w:r>
          </w:p>
        </w:tc>
        <w:tc>
          <w:tcPr>
            <w:tcW w:type="dxa" w:w="4238"/>
          </w:tcPr>
          <w:p>
            <w:r>
              <w:rPr/>
              <w:t>按有关法律、法规、规章不属于响应无效的；</w:t>
            </w:r>
          </w:p>
        </w:tc>
      </w:tr>
      <w:tr>
        <w:tc>
          <w:tcPr>
            <w:tcW w:type="dxa" w:w="890"/>
          </w:tcPr>
          <w:p>
            <w:r>
              <w:rPr/>
              <w:t>6</w:t>
            </w:r>
          </w:p>
        </w:tc>
        <w:tc>
          <w:tcPr>
            <w:tcW w:type="dxa" w:w="3178"/>
          </w:tcPr>
          <w:p>
            <w:r>
              <w:rPr/>
              <w:t>首次报价</w:t>
            </w:r>
          </w:p>
        </w:tc>
        <w:tc>
          <w:tcPr>
            <w:tcW w:type="dxa" w:w="4238"/>
          </w:tcPr>
          <w:p>
            <w:r>
              <w:rPr/>
              <w:t>首次报价未超过本项目采购预算。</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采购包1(佛山市城市绿化遥感调查与测评):</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对项目的理解及重点难点的分析 (10.0分)</w:t>
            </w:r>
            <w:r>
              <w:rPr/>
              <w:t>，（等次分值选择：</w:t>
            </w:r>
            <w:r>
              <w:rPr/>
              <w:t>0.0;</w:t>
            </w:r>
            <w:r>
              <w:rPr/>
              <w:t>1.0;</w:t>
            </w:r>
            <w:r>
              <w:rPr/>
              <w:t>4.0;</w:t>
            </w:r>
            <w:r>
              <w:rPr/>
              <w:t>7.0;</w:t>
            </w:r>
            <w:r>
              <w:rPr/>
              <w:t>10.0;</w:t>
            </w:r>
            <w:r>
              <w:rPr/>
              <w:t>）</w:t>
            </w:r>
          </w:p>
        </w:tc>
        <w:tc>
          <w:tcPr>
            <w:tcW w:type="dxa" w:w="5076"/>
          </w:tcPr>
          <w:p>
            <w:pPr>
              <w:jc w:val="left"/>
            </w:pPr>
            <w:r>
              <w:rPr/>
              <w:t>根据响应供应商对项目的理解及重点难点的分析（包括但不限于项目需求、项目背景、建设内容与要求、成果要求、重点难点分析等）进行评审： 1、对项目需求、项目背景、建设内容与要求、成果要求理解非常透彻，对项目重点难点分析非常到位的，提出的重点难点完全符合采购需求的得10分； 2、对项目需求、项目背景、建设内容与要求、成果要求比较透彻，对项目重点难点分析比较到位的，提出的重点难点比较符合采购需求的得7分； 3、对项目需求、项目背景、建设内容与要求、成果要求有一定了解，对项目重点难点分析基本到位的，提出的重点难点基本符合采购需求的得4分； 4、对项目需求、项目背景、建设内容与要求、成果要求不理解，对项目重点难点分析不到位的，提出的重点难点不太符合采购需求的得1分； 5、未提供不得分。</w:t>
            </w:r>
          </w:p>
        </w:tc>
      </w:tr>
      <w:tr>
        <w:tc>
          <w:tcPr>
            <w:tcW w:type="dxa" w:w="922"/>
            <w:gridSpan w:val="2"/>
            <w:vMerge/>
          </w:tcPr>
          <w:p/>
        </w:tc>
        <w:tc>
          <w:tcPr>
            <w:tcW w:type="dxa" w:w="2307"/>
          </w:tcPr>
          <w:p>
            <w:pPr>
              <w:jc w:val="left"/>
            </w:pPr>
            <w:r>
              <w:rPr/>
              <w:t>技术方案 (10.0分)</w:t>
            </w:r>
            <w:r>
              <w:rPr/>
              <w:t>，（等次分值选择：</w:t>
            </w:r>
            <w:r>
              <w:rPr/>
              <w:t>0.0;</w:t>
            </w:r>
            <w:r>
              <w:rPr/>
              <w:t>1.0;</w:t>
            </w:r>
            <w:r>
              <w:rPr/>
              <w:t>4.0;</w:t>
            </w:r>
            <w:r>
              <w:rPr/>
              <w:t>7.0;</w:t>
            </w:r>
            <w:r>
              <w:rPr/>
              <w:t>10.0;</w:t>
            </w:r>
            <w:r>
              <w:rPr/>
              <w:t>）</w:t>
            </w:r>
          </w:p>
        </w:tc>
        <w:tc>
          <w:tcPr>
            <w:tcW w:type="dxa" w:w="5076"/>
          </w:tcPr>
          <w:p>
            <w:pPr>
              <w:jc w:val="left"/>
            </w:pPr>
            <w:r>
              <w:rPr/>
              <w:t>根据响应供应商提供的技术方案（包括但不限于：工作思路、工作方法、工作流程、安全控制等）进行评审： 1、方案完全符合本地实际，可行性和科学性强、对项目研究的工作思路、方法、流程、安全控制等方案完全符合项目实际的，得10分； 2、方案比较符合本地实际，可行性和科学性较强、对项目研究的工作思路、方法、流程、安全控制等方案比较符合项目实际的，得8分； 3、方案基本符合本地实际，具有一定可行性和科学性、对项目研究的工作思路、方法、流程、安全控制等方案基本符合项目实际的，得4分； 4、方案与本地实际有一定偏差，不具备可行性和科学性、对项目研究的工作思路、方法、流程、安全控制等方案不太符合项目实际的，得1分； 5、未提供不得分。</w:t>
            </w:r>
          </w:p>
        </w:tc>
      </w:tr>
      <w:tr>
        <w:tc>
          <w:tcPr>
            <w:tcW w:type="dxa" w:w="922"/>
            <w:gridSpan w:val="2"/>
            <w:vMerge/>
          </w:tcPr>
          <w:p/>
        </w:tc>
        <w:tc>
          <w:tcPr>
            <w:tcW w:type="dxa" w:w="2307"/>
          </w:tcPr>
          <w:p>
            <w:pPr>
              <w:jc w:val="left"/>
            </w:pPr>
            <w:r>
              <w:rPr/>
              <w:t>项目实施方案 (10.0分)</w:t>
            </w:r>
            <w:r>
              <w:rPr/>
              <w:t>，（等次分值选择：</w:t>
            </w:r>
            <w:r>
              <w:rPr/>
              <w:t>0.0;</w:t>
            </w:r>
            <w:r>
              <w:rPr/>
              <w:t>1.0;</w:t>
            </w:r>
            <w:r>
              <w:rPr/>
              <w:t>4.0;</w:t>
            </w:r>
            <w:r>
              <w:rPr/>
              <w:t>7.0;</w:t>
            </w:r>
            <w:r>
              <w:rPr/>
              <w:t>10.0;</w:t>
            </w:r>
            <w:r>
              <w:rPr/>
              <w:t>）</w:t>
            </w:r>
          </w:p>
        </w:tc>
        <w:tc>
          <w:tcPr>
            <w:tcW w:type="dxa" w:w="5076"/>
          </w:tcPr>
          <w:p>
            <w:pPr>
              <w:jc w:val="left"/>
            </w:pPr>
            <w:r>
              <w:rPr/>
              <w:t>根据响应供应商提供的项目实施方案（包括但不限于：组织实施方案、项目进度计划、项目总结等）进行评审： 1、实施方案非常完善、项目进度安排非常合理、项目总结非常科学、完整的，得10分； 2、实施方案比较完善、项目进度安排比较合理、项目总结比较科学、完整的，得7分； 3、实施方案基本完善、项目进度安排基本合理、项目总结具有一定科学性、完整性的，得4分； 4、实施方案不够完善、项目进度安排合理性差、项目总结缺乏科学性、完整性的，得1分； 5、未提供不得分。</w:t>
            </w:r>
          </w:p>
        </w:tc>
      </w:tr>
      <w:tr>
        <w:tc>
          <w:tcPr>
            <w:tcW w:type="dxa" w:w="922"/>
            <w:gridSpan w:val="2"/>
            <w:vMerge/>
          </w:tcPr>
          <w:p/>
        </w:tc>
        <w:tc>
          <w:tcPr>
            <w:tcW w:type="dxa" w:w="2307"/>
          </w:tcPr>
          <w:p>
            <w:pPr>
              <w:jc w:val="left"/>
            </w:pPr>
            <w:r>
              <w:rPr/>
              <w:t>质量保证计划 (10.0分)</w:t>
            </w:r>
            <w:r>
              <w:rPr/>
              <w:t>，（等次分值选择：</w:t>
            </w:r>
            <w:r>
              <w:rPr/>
              <w:t>0.0;</w:t>
            </w:r>
            <w:r>
              <w:rPr/>
              <w:t>1.0;</w:t>
            </w:r>
            <w:r>
              <w:rPr/>
              <w:t>4.0;</w:t>
            </w:r>
            <w:r>
              <w:rPr/>
              <w:t>7.0;</w:t>
            </w:r>
            <w:r>
              <w:rPr/>
              <w:t>10.0;</w:t>
            </w:r>
            <w:r>
              <w:rPr/>
              <w:t>）</w:t>
            </w:r>
          </w:p>
        </w:tc>
        <w:tc>
          <w:tcPr>
            <w:tcW w:type="dxa" w:w="5076"/>
          </w:tcPr>
          <w:p>
            <w:pPr>
              <w:jc w:val="left"/>
            </w:pPr>
            <w:r>
              <w:rPr/>
              <w:t>根据供应商提供的质量保证计划（包括但不限于质量保障控制原则、质量检查流程、成果控制等）进行评审： 1、质量保证计划非常充分，质量保障控制原则、质量检查流程、成果控制科学详细、切实可行的，得10分；  2、质量保证计划比较充分，质量保障控制原则、质量检查流程、成果控制科学、比较可行的，得7分； 3、质量保证计划基本明确，质量保障控制原则、质量检查流程、成果控制基本可行的，得4分；  4、质量保证计划不够明确，质量保障控制原则、质量检查流程、成果控制可行性较差的，得1分； 5、未提供不得分。</w:t>
            </w:r>
          </w:p>
        </w:tc>
      </w:tr>
      <w:tr>
        <w:tc>
          <w:tcPr>
            <w:tcW w:type="dxa" w:w="922"/>
            <w:gridSpan w:val="2"/>
            <w:vMerge/>
          </w:tcPr>
          <w:p/>
        </w:tc>
        <w:tc>
          <w:tcPr>
            <w:tcW w:type="dxa" w:w="2307"/>
          </w:tcPr>
          <w:p>
            <w:pPr>
              <w:jc w:val="left"/>
            </w:pPr>
            <w:r>
              <w:rPr/>
              <w:t>保密制度建设 (10.0分)</w:t>
            </w:r>
            <w:r>
              <w:rPr/>
              <w:t>，（等次分值选择：</w:t>
            </w:r>
            <w:r>
              <w:rPr/>
              <w:t>0.0;</w:t>
            </w:r>
            <w:r>
              <w:rPr/>
              <w:t>1.0;</w:t>
            </w:r>
            <w:r>
              <w:rPr/>
              <w:t>4.0;</w:t>
            </w:r>
            <w:r>
              <w:rPr/>
              <w:t>7.0;</w:t>
            </w:r>
            <w:r>
              <w:rPr/>
              <w:t>10.0;</w:t>
            </w:r>
            <w:r>
              <w:rPr/>
              <w:t>）</w:t>
            </w:r>
          </w:p>
        </w:tc>
        <w:tc>
          <w:tcPr>
            <w:tcW w:type="dxa" w:w="5076"/>
          </w:tcPr>
          <w:p>
            <w:pPr>
              <w:jc w:val="left"/>
            </w:pPr>
            <w:r>
              <w:rPr/>
              <w:t>根据响应供应商制定的信息保密管理方法进行评审：  1、信息保密管理方法完善、数据保密措施科学、完善，手段可靠，得10分；  2、信息保密管理方法较完善、数据保密措施较科学、完善，手段可靠性较高，得7分；  3、信息保密管理方法基本完善、数据保密措施科学性较低，手段可靠性较低，得4分； 4、信息保密管理方法不完善、数据保密措施科学性低，手段可靠性低，得1分； 5、未提供不得分。</w:t>
            </w:r>
          </w:p>
        </w:tc>
      </w:tr>
      <w:tr>
        <w:tc>
          <w:tcPr>
            <w:tcW w:type="dxa" w:w="922"/>
            <w:gridSpan w:val="2"/>
            <w:vMerge/>
          </w:tcPr>
          <w:p/>
        </w:tc>
        <w:tc>
          <w:tcPr>
            <w:tcW w:type="dxa" w:w="2307"/>
          </w:tcPr>
          <w:p>
            <w:pPr>
              <w:jc w:val="left"/>
            </w:pPr>
            <w:r>
              <w:rPr/>
              <w:t>售后服务方案 (10.0分)</w:t>
            </w:r>
            <w:r>
              <w:rPr/>
              <w:t>，（等次分值选择：</w:t>
            </w:r>
            <w:r>
              <w:rPr/>
              <w:t>0.0;</w:t>
            </w:r>
            <w:r>
              <w:rPr/>
              <w:t>1.0;</w:t>
            </w:r>
            <w:r>
              <w:rPr/>
              <w:t>4.0;</w:t>
            </w:r>
            <w:r>
              <w:rPr/>
              <w:t>7.0;</w:t>
            </w:r>
            <w:r>
              <w:rPr/>
              <w:t>10.0;</w:t>
            </w:r>
            <w:r>
              <w:rPr/>
              <w:t>）</w:t>
            </w:r>
          </w:p>
        </w:tc>
        <w:tc>
          <w:tcPr>
            <w:tcW w:type="dxa" w:w="5076"/>
          </w:tcPr>
          <w:p>
            <w:pPr>
              <w:jc w:val="left"/>
            </w:pPr>
            <w:r>
              <w:rPr/>
              <w:t>根据响应供应商提供的售后服务方案进行评审（包括但不限于技术保证计划、后续服务承诺保障等）： 1、售后服务计划及方案非常合理、针对项目制定非常完善、可靠的售后服务方案的，得10分； 2、售后服务计划及方案较为合理、针对项目制定较为完善、可靠的售后服务方案的，得7分； 3、售后服务计划及方案基本合理、针对项目制定基本完善、可靠的售后服务方案的，得4分； 4、售后服务计划及方案不太合理、针对项目制定不太完善的售后服务方案的，得1分； 5、未提供不得分。</w:t>
            </w:r>
          </w:p>
        </w:tc>
      </w:tr>
      <w:tr>
        <w:tc>
          <w:tcPr>
            <w:tcW w:type="dxa" w:w="922"/>
            <w:gridSpan w:val="2"/>
            <w:vMerge w:val="restart"/>
          </w:tcPr>
          <w:p>
            <w:pPr>
              <w:jc w:val="center"/>
            </w:pPr>
            <w:r>
              <w:rPr/>
              <w:t>商务部分</w:t>
            </w:r>
          </w:p>
        </w:tc>
        <w:tc>
          <w:tcPr>
            <w:tcW w:type="dxa" w:w="2307"/>
          </w:tcPr>
          <w:p>
            <w:pPr>
              <w:jc w:val="left"/>
            </w:pPr>
            <w:r>
              <w:rPr/>
              <w:t>体系认证证书 (3.0分)</w:t>
            </w:r>
          </w:p>
        </w:tc>
        <w:tc>
          <w:tcPr>
            <w:tcW w:type="dxa" w:w="5076"/>
          </w:tcPr>
          <w:p>
            <w:pPr>
              <w:jc w:val="left"/>
            </w:pPr>
            <w:r>
              <w:rPr/>
              <w:t>响应供应商具有有效的质量管理体系认证证书、职业健康安全管理体系认证证书、环境管理体系认证证书的，每提供一个得1分，最高得3分。 注：须提供证书扫描件，不符合或不提供不得分。</w:t>
            </w:r>
          </w:p>
        </w:tc>
      </w:tr>
      <w:tr>
        <w:tc>
          <w:tcPr>
            <w:tcW w:type="dxa" w:w="922"/>
            <w:gridSpan w:val="2"/>
            <w:vMerge/>
          </w:tcPr>
          <w:p/>
        </w:tc>
        <w:tc>
          <w:tcPr>
            <w:tcW w:type="dxa" w:w="2307"/>
          </w:tcPr>
          <w:p>
            <w:pPr>
              <w:jc w:val="left"/>
            </w:pPr>
            <w:r>
              <w:rPr/>
              <w:t>同类项目业绩 (15.0分)</w:t>
            </w:r>
          </w:p>
        </w:tc>
        <w:tc>
          <w:tcPr>
            <w:tcW w:type="dxa" w:w="5076"/>
          </w:tcPr>
          <w:p>
            <w:pPr>
              <w:jc w:val="left"/>
            </w:pPr>
            <w:r>
              <w:rPr/>
              <w:t>响应供应商2019年1月1日以来（以合同签订日期为准）具有同类项目业绩，每提供一个业绩得3分，本项最多得15分。 注：须提供中标（成交）通知书及合同关键页（关键页包括合同名称、主要合同内容、合同签订时间、签字及落款盖章页）扫描件，不符合或不提供不得分。</w:t>
            </w:r>
          </w:p>
        </w:tc>
      </w:tr>
      <w:tr>
        <w:tc>
          <w:tcPr>
            <w:tcW w:type="dxa" w:w="922"/>
            <w:gridSpan w:val="2"/>
            <w:vMerge/>
          </w:tcPr>
          <w:p/>
        </w:tc>
        <w:tc>
          <w:tcPr>
            <w:tcW w:type="dxa" w:w="2307"/>
          </w:tcPr>
          <w:p>
            <w:pPr>
              <w:jc w:val="left"/>
            </w:pPr>
            <w:r>
              <w:rPr/>
              <w:t>拟投入的项目团队 (9.0分)</w:t>
            </w:r>
          </w:p>
        </w:tc>
        <w:tc>
          <w:tcPr>
            <w:tcW w:type="dxa" w:w="5076"/>
          </w:tcPr>
          <w:p>
            <w:pPr>
              <w:jc w:val="left"/>
            </w:pPr>
            <w:r>
              <w:rPr/>
              <w:t>根据响应供应商拟投入的项目团队进行评审： 1、项目团队负责人(1人）具有遥感或测绘类相关专业高级（或以上）工程师职称的，得3分。  2、项目团队成员具有遥感或测绘类相关专业高级（或以上）工程师职称的，每提供一个得2分；具有遥感或测绘类相关专业中级工程师职称的，每提供一个得1分；本小项最多得6分。  注：须提供人员证书及响应文件截止日前（不含截止日当月）6个月内任意1个月响应供应商为其购买社保的证明材料扫描件，不提供或提供不完整的不得分。</w:t>
            </w:r>
          </w:p>
        </w:tc>
      </w:tr>
      <w:tr>
        <w:tc>
          <w:tcPr>
            <w:tcW w:type="dxa" w:w="922"/>
            <w:gridSpan w:val="2"/>
            <w:vMerge/>
          </w:tcPr>
          <w:p/>
        </w:tc>
        <w:tc>
          <w:tcPr>
            <w:tcW w:type="dxa" w:w="2307"/>
          </w:tcPr>
          <w:p>
            <w:pPr>
              <w:jc w:val="left"/>
            </w:pPr>
            <w:r>
              <w:rPr/>
              <w:t>服务响应时间 (3.0分)</w:t>
            </w:r>
          </w:p>
        </w:tc>
        <w:tc>
          <w:tcPr>
            <w:tcW w:type="dxa" w:w="5076"/>
          </w:tcPr>
          <w:p>
            <w:pPr>
              <w:jc w:val="left"/>
            </w:pPr>
            <w:r>
              <w:rPr/>
              <w:t>根据响应供应商服务机构到达采购人办公地点的服务响应时间进行评审： 1、到场服务响应时间60分钟（含）内的，得3分；  2、到场服务响应时间在60分钟（不含）至120分钟内（含）的，得2分；  3、到场服务响应时间大于120分钟的，得1分；  4、不提供不得分。  注：以第三方地图驾车模式的最短路程距离到达采购人办公地点（佛山市禅城区人民路98号）为准，须提供服务机构营业执照扫描件或租赁合同扫描件或场地使用证明或合作协议扫描件及服务点详细地址到采购人指定地点的驾车模式第三方地图截图作为证明材料，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价格分应当采用低价优先法计算，即满足竞争性磋商文件要求且投标价格最低的投标（响应）报价为评标基准价，其价格分为满分。其他响应供应商的价格分统一按照下列公式计算： 投标（响应）报价得分=(评标基准价／最后报价)×价格权重×100  备注：投标报价得分四舍五入后，小数点后保留两位有效数。</w:t>
            </w:r>
          </w:p>
        </w:tc>
      </w:tr>
    </w:tbl>
    <w:p/>
    <w:p>
      <w:r>
        <w:rPr>
          <w:b/>
          <w:sz w:val="24"/>
        </w:rPr>
        <w:t>6.汇总、排序</w:t>
      </w:r>
    </w:p>
    <w:p>
      <w:pPr>
        <w:ind w:firstLine="480"/>
      </w:pPr>
    </w:p>
    <w:p/>
    <w:p>
      <w:r>
        <w:rPr/>
        <w:t>采购包1：</w:t>
      </w:r>
    </w:p>
    <w:p/>
    <w:p>
      <w:r>
        <w:rPr/>
        <w:t>磋商小组根据综合评分情况按照评审得分由高到低推荐3名成交候选人。评标总得分相同的，按下列顺序比较确定：（1）投标报价（由低到高）；（2）技术部分（或技术商务部分）得分（由高到低）；（3）技术部分（或技术商务部分）评审项目中分值权重占技术部分（或技术商务部分）总分值权重由高到低的次序（得分由高到低）。推荐综合得分排名第一的响应供应商为第一成交候选人，排名第二的响应供应商为第二成交候选人，排名第三的响应供应商为第三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t xml:space="preserve"> </w:t>
      </w:r>
    </w:p>
    <w:p>
      <w:pPr>
        <w:jc w:val="center"/>
      </w:pPr>
      <w:r>
        <w:rPr>
          <w:b/>
        </w:rPr>
        <w:t xml:space="preserve"> </w:t>
      </w:r>
    </w:p>
    <w:p>
      <w:pPr>
        <w:jc w:val="center"/>
      </w:pPr>
      <w:r>
        <w:rPr>
          <w:b/>
        </w:rPr>
        <w:t xml:space="preserve"> </w:t>
      </w:r>
      <w:r>
        <w:rPr>
          <w:color w:val="000000"/>
          <w:sz w:val="68"/>
        </w:rPr>
        <w:t>佛山市政府采购项目</w:t>
      </w:r>
    </w:p>
    <w:p>
      <w:pPr>
        <w:jc w:val="center"/>
      </w:pPr>
    </w:p>
    <w:p>
      <w:pPr>
        <w:jc w:val="center"/>
      </w:pPr>
      <w:r>
        <w:rPr>
          <w:color w:val="000000"/>
          <w:sz w:val="68"/>
        </w:rPr>
        <w:t>合</w:t>
      </w:r>
      <w:r>
        <w:rPr>
          <w:color w:val="000000"/>
          <w:sz w:val="68"/>
        </w:rPr>
        <w:t>同</w:t>
      </w:r>
      <w:r>
        <w:rPr>
          <w:color w:val="000000"/>
          <w:sz w:val="68"/>
        </w:rPr>
        <w:t>书</w:t>
      </w:r>
    </w:p>
    <w:p>
      <w:pPr>
        <w:jc w:val="center"/>
      </w:pPr>
      <w:r>
        <w:rPr/>
        <w:t xml:space="preserve"> </w:t>
      </w:r>
    </w:p>
    <w:p>
      <w:pPr>
        <w:jc w:val="center"/>
      </w:pPr>
    </w:p>
    <w:p>
      <w:pPr>
        <w:jc w:val="center"/>
      </w:pPr>
    </w:p>
    <w:p>
      <w:pPr>
        <w:jc w:val="center"/>
      </w:pPr>
    </w:p>
    <w:p>
      <w:pPr>
        <w:jc w:val="center"/>
      </w:pPr>
    </w:p>
    <w:p>
      <w:pPr>
        <w:ind w:firstLine="2409"/>
      </w:pPr>
      <w:r>
        <w:rPr>
          <w:b/>
          <w:color w:val="000000"/>
          <w:sz w:val="24"/>
        </w:rPr>
        <w:t xml:space="preserve">            </w:t>
      </w:r>
      <w:r>
        <w:rPr>
          <w:b/>
          <w:color w:val="000000"/>
          <w:sz w:val="24"/>
        </w:rPr>
        <w:t xml:space="preserve">             </w:t>
      </w:r>
    </w:p>
    <w:p>
      <w:pPr>
        <w:ind w:firstLine="2409"/>
        <w:jc w:val="center"/>
      </w:pPr>
      <w:r>
        <w:rPr>
          <w:b/>
          <w:color w:val="000000"/>
          <w:sz w:val="24"/>
        </w:rPr>
        <w:t>项目编号：</w:t>
      </w:r>
      <w:r>
        <w:rPr>
          <w:b/>
          <w:color w:val="000000"/>
          <w:sz w:val="24"/>
          <w:u w:val="single"/>
        </w:rPr>
        <w:t xml:space="preserve">               </w:t>
      </w:r>
      <w:r>
        <w:rPr>
          <w:b/>
          <w:color w:val="000000"/>
          <w:sz w:val="24"/>
        </w:rPr>
        <w:t xml:space="preserve">             </w:t>
      </w:r>
    </w:p>
    <w:p>
      <w:pPr>
        <w:ind w:firstLine="2409"/>
        <w:jc w:val="center"/>
      </w:pPr>
      <w:r>
        <w:rPr>
          <w:b/>
          <w:color w:val="000000"/>
          <w:sz w:val="24"/>
        </w:rPr>
        <w:t>项目名称：</w:t>
      </w:r>
      <w:r>
        <w:rPr>
          <w:b/>
          <w:color w:val="000000"/>
          <w:sz w:val="24"/>
          <w:u w:val="single"/>
        </w:rPr>
        <w:t xml:space="preserve">               </w:t>
      </w:r>
      <w:r>
        <w:rPr>
          <w:b/>
          <w:color w:val="000000"/>
          <w:sz w:val="24"/>
        </w:rPr>
        <w:t xml:space="preserve">            </w:t>
      </w:r>
    </w:p>
    <w:p>
      <w:pPr>
        <w:ind w:firstLine="2409"/>
      </w:pPr>
      <w:r>
        <w:rPr/>
        <w:t xml:space="preserve"> </w:t>
      </w:r>
    </w:p>
    <w:p>
      <w:pPr>
        <w:jc w:val="center"/>
      </w:pPr>
    </w:p>
    <w:p>
      <w:pPr>
        <w:jc w:val="center"/>
      </w:pPr>
    </w:p>
    <w:p>
      <w:pPr>
        <w:jc w:val="center"/>
      </w:pPr>
    </w:p>
    <w:p>
      <w:pPr>
        <w:jc w:val="center"/>
      </w:pPr>
      <w:r>
        <w:rPr>
          <w:b/>
          <w:color w:val="000000"/>
          <w:sz w:val="24"/>
        </w:rPr>
        <w:t>甲    方：</w:t>
      </w:r>
      <w:r>
        <w:rPr>
          <w:b/>
          <w:color w:val="000000"/>
          <w:sz w:val="24"/>
          <w:u w:val="single"/>
        </w:rPr>
        <w:t xml:space="preserve">       采购人名称                  </w:t>
      </w:r>
    </w:p>
    <w:p>
      <w:pPr>
        <w:jc w:val="center"/>
      </w:pPr>
      <w:r>
        <w:rPr>
          <w:b/>
          <w:color w:val="000000"/>
          <w:sz w:val="24"/>
        </w:rPr>
        <w:t xml:space="preserve">乙    方： </w:t>
      </w:r>
      <w:r>
        <w:rPr>
          <w:b/>
          <w:color w:val="000000"/>
          <w:sz w:val="24"/>
          <w:u w:val="single"/>
        </w:rPr>
        <w:t xml:space="preserve"> （中标/成交供应商名称）       </w:t>
      </w:r>
    </w:p>
    <w:p>
      <w:pPr>
        <w:jc w:val="center"/>
      </w:pPr>
      <w:r>
        <w:rPr>
          <w:b/>
          <w:color w:val="000000"/>
          <w:sz w:val="24"/>
        </w:rPr>
        <w:t>签订日期：</w:t>
      </w:r>
      <w:r>
        <w:rPr>
          <w:b/>
          <w:color w:val="000000"/>
          <w:sz w:val="24"/>
          <w:u w:val="single"/>
        </w:rPr>
        <w:t xml:space="preserve">       年           月         日   </w:t>
      </w:r>
    </w:p>
    <w:p>
      <w:r>
        <w:rPr/>
        <w:t xml:space="preserve"> </w:t>
      </w: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 xml:space="preserve">  </w:t>
            </w:r>
            <w:r>
              <w:rPr>
                <w:color w:val="000000"/>
                <w:sz w:val="21"/>
                <w:u w:val="single"/>
              </w:rPr>
              <w:t>（采购人名称）</w:t>
            </w:r>
            <w:r>
              <w:rPr>
                <w:color w:val="000000"/>
                <w:sz w:val="21"/>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合同性质：</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本合同为中小企业预留合同</w:t>
            </w:r>
            <w:r>
              <w:rPr>
                <w:sz w:val="19"/>
                <w:u w:val="single"/>
              </w:rPr>
              <w:t xml:space="preserve">                            </w:t>
            </w:r>
          </w:p>
        </w:tc>
      </w:tr>
    </w:tbl>
    <w:p>
      <w:r>
        <w:rPr>
          <w:color w:val="000000"/>
          <w:sz w:val="21"/>
        </w:rPr>
        <w:t>根据《中华人民共和国政府采购法》</w:t>
      </w:r>
      <w:r>
        <w:rPr>
          <w:color w:val="000000"/>
          <w:sz w:val="21"/>
        </w:rPr>
        <w:t>、</w:t>
      </w:r>
      <w:r>
        <w:rPr>
          <w:color w:val="000000"/>
          <w:sz w:val="21"/>
        </w:rPr>
        <w:t>《中华人民共和国民法典》和本项目</w:t>
      </w:r>
      <w:r>
        <w:rPr>
          <w:color w:val="000000"/>
          <w:sz w:val="21"/>
        </w:rPr>
        <w:t>竞争性磋商文件</w:t>
      </w:r>
      <w:r>
        <w:rPr>
          <w:color w:val="000000"/>
          <w:sz w:val="21"/>
        </w:rPr>
        <w:t>的要求，</w:t>
      </w:r>
      <w:r>
        <w:rPr>
          <w:color w:val="000000"/>
          <w:sz w:val="21"/>
        </w:rPr>
        <w:t>经双方协商，</w:t>
      </w:r>
      <w:r>
        <w:rPr>
          <w:color w:val="000000"/>
          <w:sz w:val="21"/>
        </w:rPr>
        <w:t>本着平等互利和诚实信用的原则，</w:t>
      </w:r>
      <w:r>
        <w:rPr>
          <w:color w:val="000000"/>
          <w:sz w:val="21"/>
        </w:rPr>
        <w:t>一致同意签订本合同如下。</w:t>
      </w:r>
    </w:p>
    <w:p>
      <w:r>
        <w:rPr>
          <w:b/>
        </w:rPr>
        <w:t>一、基本合同条款一览表：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3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198"/>
            <w:tcBorders>
              <w:top w:val="none" w:color="000000" w:sz="4"/>
              <w:left w:val="none" w:color="000000" w:sz="4"/>
              <w:bottom w:val="single" w:color="000000" w:sz="4"/>
              <w:right w:val="single" w:color="000000" w:sz="4"/>
            </w:tcBorders>
            <w:vAlign w:val="top"/>
          </w:tcPr>
          <w:p>
            <w:r>
              <w:rPr>
                <w:color w:val="000000"/>
                <w:sz w:val="21"/>
              </w:rPr>
              <w:t>人民币</w:t>
            </w:r>
            <w:r>
              <w:rPr>
                <w:color w:val="000000"/>
                <w:sz w:val="21"/>
              </w:rPr>
              <w:t xml:space="preserve"> </w:t>
            </w:r>
            <w:r>
              <w:rPr>
                <w:color w:val="000000"/>
                <w:sz w:val="21"/>
              </w:rPr>
              <w:t>小写：</w:t>
            </w:r>
            <w:r>
              <w:rPr>
                <w:sz w:val="19"/>
                <w:u w:val="single"/>
              </w:rPr>
              <w:t xml:space="preserve">             </w:t>
            </w:r>
            <w:r>
              <w:rPr>
                <w:color w:val="000000"/>
                <w:sz w:val="21"/>
              </w:rPr>
              <w:t>元</w:t>
            </w:r>
            <w:r>
              <w:rPr>
                <w:color w:val="000000"/>
                <w:sz w:val="21"/>
              </w:rPr>
              <w:t>；</w:t>
            </w:r>
          </w:p>
          <w:p>
            <w:r>
              <w:rPr>
                <w:color w:val="000000"/>
                <w:sz w:val="21"/>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198"/>
            <w:tcBorders>
              <w:top w:val="none" w:color="000000" w:sz="4"/>
              <w:left w:val="none" w:color="000000" w:sz="4"/>
              <w:bottom w:val="single" w:color="000000" w:sz="4"/>
              <w:right w:val="single" w:color="000000" w:sz="4"/>
            </w:tcBorders>
            <w:vAlign w:val="top"/>
          </w:tcPr>
          <w:p>
            <w:r>
              <w:rPr>
                <w:sz w:val="21"/>
              </w:rPr>
              <w:t>（</w:t>
            </w:r>
            <w:r>
              <w:rPr>
                <w:sz w:val="21"/>
              </w:rPr>
              <w:t>1）</w:t>
            </w:r>
            <w:r>
              <w:rPr>
                <w:sz w:val="21"/>
              </w:rPr>
              <w:t>本项目为总包干价，</w:t>
            </w:r>
            <w:r>
              <w:rPr>
                <w:sz w:val="21"/>
              </w:rPr>
              <w:t>合同总额</w:t>
            </w:r>
            <w:r>
              <w:rPr>
                <w:sz w:val="21"/>
              </w:rPr>
              <w:t>包括但不限于</w:t>
            </w:r>
            <w:r>
              <w:rPr>
                <w:sz w:val="21"/>
              </w:rPr>
              <w:t>项目编制费用、调查研究费用、专家评审费用、制作费用、资料收集、成果制作、文档和图件打印装订费用、雇员费用、税费、合理利润、风险费用及合同实施过程中的应预见和不可预见等一切费用。</w:t>
            </w:r>
          </w:p>
          <w:p>
            <w:r>
              <w:rPr>
                <w:sz w:val="21"/>
              </w:rPr>
              <w:t>（</w:t>
            </w:r>
            <w:r>
              <w:rPr>
                <w:sz w:val="21"/>
              </w:rPr>
              <w:t>2）</w:t>
            </w:r>
            <w:r>
              <w:rPr>
                <w:sz w:val="21"/>
              </w:rPr>
              <w:t>所有价格均为人民币，金额单位为元。</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甲方（用户）指定地点</w:t>
            </w:r>
            <w:r>
              <w:rPr>
                <w:color w:val="000000"/>
                <w:sz w:val="21"/>
              </w:rPr>
              <w:t>。详细地址为：</w:t>
            </w:r>
            <w:r>
              <w:rPr>
                <w:color w:val="000000"/>
                <w:sz w:val="21"/>
              </w:rPr>
              <w:t>佛山市</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sz w:val="21"/>
              </w:rPr>
              <w:t>自合同生效之日至</w:t>
            </w:r>
            <w:r>
              <w:rPr>
                <w:sz w:val="21"/>
              </w:rPr>
              <w:t>2024年6月</w:t>
            </w:r>
            <w:r>
              <w:rPr>
                <w:sz w:val="21"/>
              </w:rPr>
              <w:t>完成并经验收合格</w:t>
            </w:r>
            <w:r>
              <w:rPr>
                <w:color w:val="000000"/>
                <w:sz w:val="21"/>
              </w:rPr>
              <w:t>，即从</w:t>
            </w:r>
            <w:r>
              <w:rPr>
                <w:sz w:val="19"/>
                <w:u w:val="single"/>
              </w:rPr>
              <w:t xml:space="preserve">  </w:t>
            </w:r>
            <w:r>
              <w:rPr>
                <w:color w:val="000000"/>
                <w:sz w:val="21"/>
              </w:rPr>
              <w:t>年</w:t>
            </w:r>
            <w:r>
              <w:rPr>
                <w:sz w:val="19"/>
                <w:u w:val="single"/>
              </w:rPr>
              <w:t xml:space="preserve">  </w:t>
            </w:r>
            <w:r>
              <w:rPr>
                <w:color w:val="000000"/>
                <w:sz w:val="21"/>
              </w:rPr>
              <w:t>月</w:t>
            </w:r>
            <w:r>
              <w:rPr>
                <w:sz w:val="19"/>
                <w:u w:val="single"/>
              </w:rPr>
              <w:t xml:space="preserve">  </w:t>
            </w:r>
            <w:r>
              <w:rPr>
                <w:color w:val="000000"/>
                <w:sz w:val="21"/>
              </w:rPr>
              <w:t>日至</w:t>
            </w:r>
            <w:r>
              <w:rPr>
                <w:sz w:val="19"/>
                <w:u w:val="single"/>
              </w:rPr>
              <w:t xml:space="preserve">  </w:t>
            </w:r>
            <w:r>
              <w:rPr>
                <w:color w:val="000000"/>
                <w:sz w:val="21"/>
              </w:rPr>
              <w:t>年</w:t>
            </w:r>
            <w:r>
              <w:rPr>
                <w:sz w:val="19"/>
                <w:u w:val="single"/>
              </w:rPr>
              <w:t xml:space="preserve">  </w:t>
            </w:r>
            <w:r>
              <w:rPr>
                <w:color w:val="000000"/>
                <w:sz w:val="21"/>
              </w:rPr>
              <w:t>月</w:t>
            </w:r>
            <w:r>
              <w:rPr>
                <w:sz w:val="19"/>
                <w:u w:val="single"/>
              </w:rPr>
              <w:t xml:space="preserve">  </w:t>
            </w:r>
            <w:r>
              <w:rPr>
                <w:color w:val="000000"/>
                <w:sz w:val="21"/>
              </w:rPr>
              <w:t>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合同签订</w:t>
            </w:r>
            <w:r>
              <w:rPr>
                <w:b/>
                <w:color w:val="000000"/>
                <w:sz w:val="21"/>
              </w:rPr>
              <w:t>方式及情况</w:t>
            </w:r>
          </w:p>
        </w:tc>
        <w:tc>
          <w:tcPr>
            <w:tcW w:type="dxa" w:w="6198"/>
            <w:tcBorders>
              <w:top w:val="none" w:color="000000" w:sz="4"/>
              <w:left w:val="none" w:color="000000" w:sz="4"/>
              <w:bottom w:val="single" w:color="000000" w:sz="4"/>
              <w:right w:val="single" w:color="000000" w:sz="4"/>
            </w:tcBorders>
            <w:vAlign w:val="top"/>
          </w:tcPr>
          <w:p>
            <w:r>
              <w:rPr>
                <w:color w:val="000000"/>
                <w:sz w:val="21"/>
              </w:rPr>
              <w:t>一次性签订本项目采购合同。</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198"/>
            <w:tcBorders>
              <w:top w:val="none" w:color="000000" w:sz="4"/>
              <w:left w:val="none" w:color="000000" w:sz="4"/>
              <w:bottom w:val="single" w:color="000000" w:sz="4"/>
              <w:right w:val="single" w:color="000000" w:sz="4"/>
            </w:tcBorders>
            <w:vAlign w:val="top"/>
          </w:tcPr>
          <w:p>
            <w:pPr>
              <w:ind w:firstLine="420"/>
              <w:jc w:val="left"/>
            </w:pPr>
            <w:r>
              <w:rPr>
                <w:sz w:val="21"/>
              </w:rPr>
              <w:t>由</w:t>
            </w:r>
            <w:r>
              <w:rPr>
                <w:sz w:val="21"/>
              </w:rPr>
              <w:t>甲方</w:t>
            </w:r>
            <w:r>
              <w:rPr>
                <w:sz w:val="21"/>
              </w:rPr>
              <w:t>按下列程序</w:t>
            </w:r>
            <w:r>
              <w:rPr>
                <w:sz w:val="21"/>
              </w:rPr>
              <w:t>向乙方</w:t>
            </w:r>
            <w:r>
              <w:rPr>
                <w:sz w:val="21"/>
              </w:rPr>
              <w:t>付款：</w:t>
            </w:r>
          </w:p>
          <w:p>
            <w:pPr>
              <w:jc w:val="left"/>
            </w:pPr>
            <w:r>
              <w:rPr>
                <w:sz w:val="21"/>
              </w:rPr>
              <w:t>（</w:t>
            </w:r>
            <w:r>
              <w:rPr>
                <w:sz w:val="21"/>
              </w:rPr>
              <w:t>1）</w:t>
            </w:r>
            <w:r>
              <w:rPr>
                <w:sz w:val="21"/>
              </w:rPr>
              <w:t>签订项目合同后</w:t>
            </w:r>
            <w:r>
              <w:rPr>
                <w:sz w:val="21"/>
              </w:rPr>
              <w:t>5个工作</w:t>
            </w:r>
            <w:r>
              <w:rPr>
                <w:sz w:val="21"/>
              </w:rPr>
              <w:t>日内</w:t>
            </w:r>
            <w:r>
              <w:rPr>
                <w:sz w:val="21"/>
              </w:rPr>
              <w:t>，支付合同总额的</w:t>
            </w:r>
            <w:r>
              <w:rPr>
                <w:sz w:val="21"/>
              </w:rPr>
              <w:t>30%。</w:t>
            </w:r>
          </w:p>
          <w:p>
            <w:pPr>
              <w:jc w:val="left"/>
            </w:pPr>
            <w:r>
              <w:rPr>
                <w:sz w:val="21"/>
              </w:rPr>
              <w:t>（</w:t>
            </w:r>
            <w:r>
              <w:rPr>
                <w:sz w:val="21"/>
              </w:rPr>
              <w:t>2）乙方</w:t>
            </w:r>
            <w:r>
              <w:rPr>
                <w:sz w:val="21"/>
              </w:rPr>
              <w:t>提交项目成果</w:t>
            </w:r>
            <w:r>
              <w:rPr>
                <w:sz w:val="21"/>
              </w:rPr>
              <w:t>并经专家评审通过</w:t>
            </w:r>
            <w:r>
              <w:rPr>
                <w:sz w:val="21"/>
              </w:rPr>
              <w:t>后</w:t>
            </w:r>
            <w:r>
              <w:rPr>
                <w:sz w:val="21"/>
              </w:rPr>
              <w:t>10</w:t>
            </w:r>
            <w:r>
              <w:rPr>
                <w:sz w:val="21"/>
              </w:rPr>
              <w:t>日内</w:t>
            </w:r>
            <w:r>
              <w:rPr>
                <w:sz w:val="21"/>
              </w:rPr>
              <w:t>，支付合同总额的</w:t>
            </w:r>
            <w:r>
              <w:rPr>
                <w:sz w:val="21"/>
              </w:rPr>
              <w:t>40%。</w:t>
            </w:r>
          </w:p>
          <w:p>
            <w:pPr>
              <w:jc w:val="left"/>
            </w:pPr>
            <w:r>
              <w:rPr>
                <w:sz w:val="21"/>
              </w:rPr>
              <w:t>（</w:t>
            </w:r>
            <w:r>
              <w:rPr>
                <w:sz w:val="21"/>
              </w:rPr>
              <w:t>3）项目</w:t>
            </w:r>
            <w:r>
              <w:rPr>
                <w:sz w:val="21"/>
              </w:rPr>
              <w:t>通过</w:t>
            </w:r>
            <w:r>
              <w:rPr>
                <w:sz w:val="21"/>
              </w:rPr>
              <w:t>甲方</w:t>
            </w:r>
            <w:r>
              <w:rPr>
                <w:sz w:val="21"/>
              </w:rPr>
              <w:t>组织的验收后</w:t>
            </w:r>
            <w:r>
              <w:rPr>
                <w:sz w:val="21"/>
              </w:rPr>
              <w:t>10</w:t>
            </w:r>
            <w:r>
              <w:rPr>
                <w:sz w:val="21"/>
              </w:rPr>
              <w:t>日内</w:t>
            </w:r>
            <w:r>
              <w:rPr>
                <w:sz w:val="21"/>
              </w:rPr>
              <w:t>，支付合同总额的</w:t>
            </w:r>
            <w:r>
              <w:rPr>
                <w:sz w:val="21"/>
              </w:rPr>
              <w:t>30</w:t>
            </w:r>
            <w:r>
              <w:rPr>
                <w:sz w:val="21"/>
              </w:rPr>
              <w:t>%。</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198"/>
            <w:tcBorders>
              <w:top w:val="none" w:color="000000" w:sz="4"/>
              <w:left w:val="none" w:color="000000" w:sz="4"/>
              <w:bottom w:val="single" w:color="000000" w:sz="4"/>
              <w:right w:val="single" w:color="000000" w:sz="4"/>
            </w:tcBorders>
            <w:vAlign w:val="top"/>
          </w:tcPr>
          <w:p>
            <w:pPr>
              <w:jc w:val="left"/>
            </w:pPr>
            <w:r>
              <w:rPr>
                <w:sz w:val="21"/>
              </w:rPr>
              <w:t>（</w:t>
            </w:r>
            <w:r>
              <w:rPr>
                <w:sz w:val="21"/>
              </w:rPr>
              <w:t>1）</w:t>
            </w:r>
            <w:r>
              <w:rPr>
                <w:sz w:val="21"/>
              </w:rPr>
              <w:t>乙方</w:t>
            </w:r>
            <w:r>
              <w:rPr>
                <w:sz w:val="21"/>
              </w:rPr>
              <w:t>凭以下有效文件与</w:t>
            </w:r>
            <w:r>
              <w:rPr>
                <w:sz w:val="21"/>
              </w:rPr>
              <w:t>甲方</w:t>
            </w:r>
            <w:r>
              <w:rPr>
                <w:sz w:val="21"/>
              </w:rPr>
              <w:t>结算：</w:t>
            </w:r>
          </w:p>
          <w:p>
            <w:pPr>
              <w:jc w:val="left"/>
            </w:pPr>
            <w:r>
              <w:rPr>
                <w:sz w:val="21"/>
              </w:rPr>
              <w:t>1）</w:t>
            </w:r>
            <w:r>
              <w:rPr>
                <w:sz w:val="21"/>
              </w:rPr>
              <w:t>合同；</w:t>
            </w:r>
          </w:p>
          <w:p>
            <w:pPr>
              <w:jc w:val="left"/>
            </w:pPr>
            <w:r>
              <w:rPr>
                <w:sz w:val="21"/>
              </w:rPr>
              <w:t>2）</w:t>
            </w:r>
            <w:r>
              <w:rPr>
                <w:sz w:val="21"/>
              </w:rPr>
              <w:t>乙方</w:t>
            </w:r>
            <w:r>
              <w:rPr>
                <w:sz w:val="21"/>
              </w:rPr>
              <w:t>开具的正式发票；</w:t>
            </w:r>
          </w:p>
          <w:p>
            <w:pPr>
              <w:jc w:val="left"/>
            </w:pPr>
            <w:r>
              <w:rPr>
                <w:sz w:val="21"/>
              </w:rPr>
              <w:t>3）</w:t>
            </w:r>
            <w:r>
              <w:rPr>
                <w:sz w:val="21"/>
              </w:rPr>
              <w:t>验收报告（</w:t>
            </w:r>
            <w:r>
              <w:rPr>
                <w:sz w:val="21"/>
              </w:rPr>
              <w:t>第三款项支付时提供</w:t>
            </w:r>
            <w:r>
              <w:rPr>
                <w:sz w:val="21"/>
              </w:rPr>
              <w:t>）；</w:t>
            </w:r>
          </w:p>
          <w:p>
            <w:pPr>
              <w:jc w:val="left"/>
            </w:pPr>
            <w:r>
              <w:rPr>
                <w:sz w:val="21"/>
              </w:rPr>
              <w:t>4）成交</w:t>
            </w:r>
            <w:r>
              <w:rPr>
                <w:sz w:val="21"/>
              </w:rPr>
              <w:t>通知书。</w:t>
            </w:r>
          </w:p>
          <w:p>
            <w:pPr>
              <w:jc w:val="left"/>
            </w:pPr>
            <w:r>
              <w:rPr>
                <w:sz w:val="21"/>
              </w:rPr>
              <w:t>（</w:t>
            </w:r>
            <w:r>
              <w:rPr>
                <w:sz w:val="21"/>
              </w:rPr>
              <w:t>2）</w:t>
            </w:r>
            <w:r>
              <w:rPr>
                <w:sz w:val="21"/>
              </w:rPr>
              <w:t>乙方收款时必须持有效发票与甲方结算。收款方、出具发票方、合同乙方均必须与</w:t>
            </w:r>
            <w:r>
              <w:rPr>
                <w:sz w:val="21"/>
              </w:rPr>
              <w:t>成交供应商</w:t>
            </w:r>
            <w:r>
              <w:rPr>
                <w:sz w:val="21"/>
              </w:rPr>
              <w:t>名称一致，否则甲方有权顺延付款时间。</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8.</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198"/>
            <w:tcBorders>
              <w:top w:val="none" w:color="000000" w:sz="4"/>
              <w:left w:val="none" w:color="000000" w:sz="4"/>
              <w:bottom w:val="single" w:color="000000" w:sz="4"/>
              <w:right w:val="single" w:color="000000" w:sz="4"/>
            </w:tcBorders>
            <w:vAlign w:val="top"/>
          </w:tcPr>
          <w:p>
            <w:pPr>
              <w:jc w:val="both"/>
            </w:pPr>
            <w:r>
              <w:rPr>
                <w:sz w:val="21"/>
              </w:rPr>
              <w:t>不收取</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9.</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售后服务期</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乙方</w:t>
            </w:r>
            <w:r>
              <w:rPr>
                <w:sz w:val="21"/>
              </w:rPr>
              <w:t>需提供</w:t>
            </w:r>
            <w:r>
              <w:rPr>
                <w:sz w:val="21"/>
              </w:rPr>
              <w:t>18个月的售后服务期，为甲方提供关于本项目的跟踪服务，主要包括：成果修改完善、技术协助等。</w:t>
            </w:r>
          </w:p>
        </w:tc>
      </w:tr>
    </w:tbl>
    <w:p>
      <w:r>
        <w:rPr>
          <w:b/>
        </w:rPr>
        <w:t>二、建设内容与要求：</w:t>
      </w:r>
      <w:r>
        <w:br/>
      </w:r>
      <w:r>
        <w:rPr/>
        <w:t>（一）卫星遥感影像获取及制作</w:t>
      </w:r>
      <w:r>
        <w:br/>
      </w:r>
      <w:r>
        <w:rPr/>
        <w:t>依据本项目工作要求，由乙方自行获取高分辨率卫星遥感影像（WorldView、SV-1等），然后对卫星遥感影像进行影像融合、正射纠正、镶嵌接边等处理，制作为卫星遥感正射影像数据。卫星遥感影像的主要技术要求如下：</w:t>
      </w:r>
      <w:r>
        <w:br/>
      </w:r>
      <w:r>
        <w:rPr/>
        <w:t>1.平面坐标系：佛山市2000坐标系（中央子午线113°E）；</w:t>
      </w:r>
      <w:r>
        <w:br/>
      </w:r>
      <w:r>
        <w:rPr/>
        <w:t>2.地图投影：平面坐标采用高斯-克吕格投影，按3°分带；</w:t>
      </w:r>
      <w:r>
        <w:br/>
      </w:r>
      <w:r>
        <w:rPr/>
        <w:t>3.高程基准：采用1985国家高程基准；</w:t>
      </w:r>
      <w:r>
        <w:br/>
      </w:r>
      <w:r>
        <w:rPr/>
        <w:t>4.彩色：红、绿、蓝三波段；</w:t>
      </w:r>
      <w:r>
        <w:br/>
      </w:r>
      <w:r>
        <w:rPr/>
        <w:t>5.地面分辨率：优于1米；</w:t>
      </w:r>
      <w:r>
        <w:br/>
      </w:r>
      <w:r>
        <w:rPr/>
        <w:t>6.云量：小于15%。</w:t>
      </w:r>
      <w:r>
        <w:br/>
      </w:r>
      <w:r>
        <w:rPr/>
        <w:t>（二）遥感调查与测评基础数据制作</w:t>
      </w:r>
      <w:r>
        <w:br/>
      </w:r>
      <w:r>
        <w:rPr/>
        <w:t>按照《城市绿地分类标准》等相关标准要求，采用内业方式，采集建成区内各类绿地面数据、水域、建城区绿化覆盖范围、主次干道、支道、林荫路等园林城市申报所需的基础数据，并进行分类和录入相关属性信息，建立空间数据库。主要包含以下数据：</w:t>
      </w:r>
    </w:p>
    <w:tbl>
      <w:tblPr>
        <w:tblW w:w="0" w:type="auto"/>
        <w:tblBorders>
          <w:top w:val="none" w:color="000000" w:sz="4"/>
          <w:left w:val="none" w:color="000000" w:sz="4"/>
          <w:bottom w:val="none" w:color="000000" w:sz="4"/>
          <w:right w:val="none" w:color="000000" w:sz="4"/>
          <w:insideH w:val="none"/>
          <w:insideV w:val="none"/>
        </w:tblBorders>
      </w:tblPr>
      <w:tblGrid>
        <w:gridCol w:w="838"/>
        <w:gridCol w:w="2299"/>
        <w:gridCol w:w="5169"/>
      </w:tblGrid>
      <w:tr>
        <w:tc>
          <w:tcPr>
            <w:tcW w:type="dxa" w:w="83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299"/>
            <w:tcBorders>
              <w:top w:val="single" w:color="000000" w:sz="4"/>
              <w:left w:val="single" w:color="000000" w:sz="4"/>
              <w:bottom w:val="single" w:color="000000" w:sz="4"/>
              <w:right w:val="single" w:color="000000" w:sz="4"/>
            </w:tcBorders>
            <w:vAlign w:val="top"/>
          </w:tcPr>
          <w:p>
            <w:pPr>
              <w:jc w:val="center"/>
            </w:pPr>
            <w:r>
              <w:rPr>
                <w:b/>
                <w:sz w:val="21"/>
              </w:rPr>
              <w:t>采集数据类型</w:t>
            </w:r>
          </w:p>
        </w:tc>
        <w:tc>
          <w:tcPr>
            <w:tcW w:type="dxa" w:w="5169"/>
            <w:tcBorders>
              <w:top w:val="single" w:color="000000" w:sz="4"/>
              <w:left w:val="single" w:color="000000" w:sz="4"/>
              <w:bottom w:val="single" w:color="000000" w:sz="4"/>
              <w:right w:val="single" w:color="000000" w:sz="4"/>
            </w:tcBorders>
            <w:vAlign w:val="top"/>
          </w:tcPr>
          <w:p>
            <w:pPr>
              <w:jc w:val="center"/>
            </w:pPr>
            <w:r>
              <w:rPr>
                <w:b/>
                <w:sz w:val="21"/>
              </w:rPr>
              <w:t>采集内容</w:t>
            </w:r>
          </w:p>
        </w:tc>
      </w:tr>
      <w:tr>
        <w:tc>
          <w:tcPr>
            <w:tcW w:type="dxa" w:w="83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99"/>
            <w:tcBorders>
              <w:top w:val="none" w:color="000000" w:sz="4"/>
              <w:left w:val="single" w:color="000000" w:sz="4"/>
              <w:bottom w:val="single" w:color="000000" w:sz="4"/>
              <w:right w:val="single" w:color="000000" w:sz="4"/>
            </w:tcBorders>
            <w:vAlign w:val="top"/>
          </w:tcPr>
          <w:p>
            <w:pPr>
              <w:jc w:val="center"/>
            </w:pPr>
            <w:r>
              <w:rPr>
                <w:sz w:val="21"/>
              </w:rPr>
              <w:t>建成区内各类绿地面数据</w:t>
            </w:r>
          </w:p>
        </w:tc>
        <w:tc>
          <w:tcPr>
            <w:tcW w:type="dxa" w:w="5169"/>
            <w:tcBorders>
              <w:top w:val="none" w:color="000000" w:sz="4"/>
              <w:left w:val="single" w:color="000000" w:sz="4"/>
              <w:bottom w:val="single" w:color="000000" w:sz="4"/>
              <w:right w:val="single" w:color="000000" w:sz="4"/>
            </w:tcBorders>
            <w:vAlign w:val="top"/>
          </w:tcPr>
          <w:p>
            <w:pPr>
              <w:jc w:val="left"/>
            </w:pPr>
            <w:r>
              <w:rPr>
                <w:sz w:val="21"/>
              </w:rPr>
              <w:t>以地形图和影像图为底图，依据《城市绿地分类标准》，圈出建成区内各类绿地范围，同时进行分类和录入相关属性信息，建立绿地空间数据库，并测算各类绿地数据。</w:t>
            </w:r>
          </w:p>
        </w:tc>
      </w:tr>
      <w:tr>
        <w:tc>
          <w:tcPr>
            <w:tcW w:type="dxa" w:w="83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99"/>
            <w:tcBorders>
              <w:top w:val="none" w:color="000000" w:sz="4"/>
              <w:left w:val="single" w:color="000000" w:sz="4"/>
              <w:bottom w:val="single" w:color="000000" w:sz="4"/>
              <w:right w:val="single" w:color="000000" w:sz="4"/>
            </w:tcBorders>
            <w:vAlign w:val="top"/>
          </w:tcPr>
          <w:p>
            <w:pPr>
              <w:jc w:val="center"/>
            </w:pPr>
            <w:r>
              <w:rPr>
                <w:sz w:val="21"/>
              </w:rPr>
              <w:t>建城区绿化覆盖范围数据</w:t>
            </w:r>
          </w:p>
        </w:tc>
        <w:tc>
          <w:tcPr>
            <w:tcW w:type="dxa" w:w="5169"/>
            <w:tcBorders>
              <w:top w:val="none" w:color="000000" w:sz="4"/>
              <w:left w:val="single" w:color="000000" w:sz="4"/>
              <w:bottom w:val="single" w:color="000000" w:sz="4"/>
              <w:right w:val="single" w:color="000000" w:sz="4"/>
            </w:tcBorders>
            <w:vAlign w:val="top"/>
          </w:tcPr>
          <w:p>
            <w:pPr>
              <w:jc w:val="left"/>
            </w:pPr>
            <w:r>
              <w:rPr>
                <w:sz w:val="21"/>
              </w:rPr>
              <w:t>以影像图为底图，圈出建成区内植被垂直投影范围，测算建成区内植被垂直投影面积。</w:t>
            </w:r>
          </w:p>
        </w:tc>
      </w:tr>
      <w:tr>
        <w:tc>
          <w:tcPr>
            <w:tcW w:type="dxa" w:w="83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99"/>
            <w:tcBorders>
              <w:top w:val="none" w:color="000000" w:sz="4"/>
              <w:left w:val="single" w:color="000000" w:sz="4"/>
              <w:bottom w:val="single" w:color="000000" w:sz="4"/>
              <w:right w:val="single" w:color="000000" w:sz="4"/>
            </w:tcBorders>
            <w:vAlign w:val="top"/>
          </w:tcPr>
          <w:p>
            <w:pPr>
              <w:jc w:val="center"/>
            </w:pPr>
            <w:r>
              <w:rPr>
                <w:sz w:val="21"/>
              </w:rPr>
              <w:t>建成区内城市次干路、支路及林荫路长度</w:t>
            </w:r>
          </w:p>
        </w:tc>
        <w:tc>
          <w:tcPr>
            <w:tcW w:type="dxa" w:w="5169"/>
            <w:tcBorders>
              <w:top w:val="none" w:color="000000" w:sz="4"/>
              <w:left w:val="single" w:color="000000" w:sz="4"/>
              <w:bottom w:val="single" w:color="000000" w:sz="4"/>
              <w:right w:val="single" w:color="000000" w:sz="4"/>
            </w:tcBorders>
            <w:vAlign w:val="top"/>
          </w:tcPr>
          <w:p>
            <w:pPr>
              <w:jc w:val="left"/>
            </w:pPr>
            <w:r>
              <w:rPr>
                <w:sz w:val="21"/>
              </w:rPr>
              <w:t>以地形图为底图，绘出建成区内城市次干路、支路中心线，录入道路名称等属性信息。以影像图为底图，以道路中心线为基础，测算林荫路长度。</w:t>
            </w:r>
          </w:p>
        </w:tc>
      </w:tr>
      <w:tr>
        <w:tc>
          <w:tcPr>
            <w:tcW w:type="dxa" w:w="83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99"/>
            <w:tcBorders>
              <w:top w:val="none" w:color="000000" w:sz="4"/>
              <w:left w:val="single" w:color="000000" w:sz="4"/>
              <w:bottom w:val="single" w:color="000000" w:sz="4"/>
              <w:right w:val="single" w:color="000000" w:sz="4"/>
            </w:tcBorders>
            <w:vAlign w:val="top"/>
          </w:tcPr>
          <w:p>
            <w:pPr>
              <w:jc w:val="center"/>
            </w:pPr>
            <w:r>
              <w:rPr>
                <w:sz w:val="21"/>
              </w:rPr>
              <w:t>建成区各类水域数据</w:t>
            </w:r>
          </w:p>
        </w:tc>
        <w:tc>
          <w:tcPr>
            <w:tcW w:type="dxa" w:w="5169"/>
            <w:tcBorders>
              <w:top w:val="none" w:color="000000" w:sz="4"/>
              <w:left w:val="single" w:color="000000" w:sz="4"/>
              <w:bottom w:val="single" w:color="000000" w:sz="4"/>
              <w:right w:val="single" w:color="000000" w:sz="4"/>
            </w:tcBorders>
            <w:vAlign w:val="top"/>
          </w:tcPr>
          <w:p>
            <w:pPr>
              <w:jc w:val="left"/>
            </w:pPr>
            <w:r>
              <w:rPr>
                <w:sz w:val="21"/>
              </w:rPr>
              <w:t>以地形图和影像图为底图，圈出建成区内各类水域数据，并进行分类和录入相关属性信息，测算水域面积。</w:t>
            </w:r>
          </w:p>
        </w:tc>
      </w:tr>
    </w:tbl>
    <w:p>
      <w:r>
        <w:rPr/>
        <w:t>（三）建城区绿道采集建库及数据分析</w:t>
      </w:r>
      <w:r>
        <w:br/>
      </w:r>
      <w:r>
        <w:rPr/>
        <w:t>采用内业为主，外业为辅的作业手段，采集现状建成区绿道，按相关标准要求分类并录入相关属性信息，建立绿道空间数据库。依据绿道空间数据库，分析并测算建成区城市绿道服务半径覆盖率等指标。</w:t>
      </w:r>
      <w:r>
        <w:br/>
      </w:r>
      <w:r>
        <w:rPr/>
        <w:t>（四）数据资料收集、分析及指标测算</w:t>
      </w:r>
      <w:r>
        <w:br/>
      </w:r>
      <w:r>
        <w:rPr/>
        <w:t>收集人口、土地利用、居住区（小区）、古树名木等相关数据资料，结合遥感调查与测评基础数据，按国家园林城市复验的申报要求，对数据进行叠加分析和规整处理，测算各类地物的面积数据，并计算出国家园林城市申报所需的各项评选指标，作为申报参考资料。具体包含以下指标的测算：</w:t>
      </w:r>
    </w:p>
    <w:tbl>
      <w:tblPr>
        <w:tblW w:w="0" w:type="auto"/>
        <w:tblBorders>
          <w:top w:val="none" w:color="000000" w:sz="4"/>
          <w:left w:val="none" w:color="000000" w:sz="4"/>
          <w:bottom w:val="none" w:color="000000" w:sz="4"/>
          <w:right w:val="none" w:color="000000" w:sz="4"/>
          <w:insideH w:val="none"/>
          <w:insideV w:val="none"/>
        </w:tblBorders>
      </w:tblPr>
      <w:tblGrid>
        <w:gridCol w:w="1454"/>
        <w:gridCol w:w="6851"/>
      </w:tblGrid>
      <w:tr>
        <w:tc>
          <w:tcPr>
            <w:tcW w:type="dxa" w:w="145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851"/>
            <w:tcBorders>
              <w:top w:val="single" w:color="000000" w:sz="4"/>
              <w:left w:val="single" w:color="000000" w:sz="4"/>
              <w:bottom w:val="single" w:color="000000" w:sz="4"/>
              <w:right w:val="single" w:color="000000" w:sz="4"/>
            </w:tcBorders>
            <w:vAlign w:val="top"/>
          </w:tcPr>
          <w:p>
            <w:pPr>
              <w:jc w:val="center"/>
            </w:pPr>
            <w:r>
              <w:rPr>
                <w:b/>
                <w:sz w:val="21"/>
              </w:rPr>
              <w:t>指标</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城市绿地率</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城市绿化覆盖率</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人均公园绿地面积</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公园绿化活动场地服务半径覆盖率</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城市绿道服务半径覆盖率</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10万人拥有综合公园个数</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城市生态廊道达标率</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城市生物多样性保护达标率</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城市林荫路覆盖率</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城市道路绿化达标率</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立体绿化实施率</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园林式居住区（单位）</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建成区蓝绿空间占比</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防灾避险绿地设施达标率</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城市湿地保护实施率</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具有历史价值的公园保护率</w:t>
            </w:r>
          </w:p>
        </w:tc>
      </w:tr>
      <w:tr>
        <w:tc>
          <w:tcPr>
            <w:tcW w:type="dxa" w:w="145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6851"/>
            <w:tcBorders>
              <w:top w:val="none" w:color="000000" w:sz="4"/>
              <w:left w:val="single" w:color="000000" w:sz="4"/>
              <w:bottom w:val="single" w:color="000000" w:sz="4"/>
              <w:right w:val="single" w:color="000000" w:sz="4"/>
            </w:tcBorders>
            <w:vAlign w:val="top"/>
          </w:tcPr>
          <w:p>
            <w:pPr>
              <w:jc w:val="center"/>
            </w:pPr>
            <w:r>
              <w:rPr>
                <w:sz w:val="21"/>
              </w:rPr>
              <w:t>古树名木及后备资源保护率</w:t>
            </w:r>
          </w:p>
        </w:tc>
      </w:tr>
    </w:tbl>
    <w:p>
      <w:r>
        <w:rPr/>
        <w:t>（五）专题图及绿化遥感影像测评报告编制</w:t>
      </w:r>
      <w:r>
        <w:br/>
      </w:r>
      <w:r>
        <w:rPr/>
        <w:t>依据《国家园林城市申报与评选管理办法》（建城〔2022〕2号）附件2的“遥感调查与测评基础材料内容与要求”，通过数据提取、数据处理、符号设计、图面配色、图面整饰等步骤编制各类园林城市申报专题图，为园林城市申报提供佐证材料。同时依据绿化遥感调查数据，编制“绿化遥感影像测评报告”。（如有最新标准，按最新标准执行。）</w:t>
      </w:r>
      <w:r>
        <w:br/>
      </w:r>
      <w:r>
        <w:rPr/>
        <w:t>（六）后期需补充内容</w:t>
      </w:r>
      <w:r>
        <w:br/>
      </w:r>
      <w:r>
        <w:rPr/>
        <w:t>在售后服务期内，如涉及建成区范围调整，需对“（四）数据资料收集、分析及指标测算”中列明的17个指标测算进行相应调整。</w:t>
      </w:r>
      <w:r>
        <w:br/>
      </w:r>
      <w:r>
        <w:rPr>
          <w:b/>
        </w:rPr>
        <w:t>三、技术标准：</w:t>
      </w:r>
      <w:r>
        <w:br/>
      </w:r>
      <w:r>
        <w:rPr/>
        <w:t>1.《中华人民共和国测绘法》；</w:t>
      </w:r>
      <w:r>
        <w:br/>
      </w:r>
      <w:r>
        <w:rPr/>
        <w:t>2.《地图管理条例》；</w:t>
      </w:r>
      <w:r>
        <w:br/>
      </w:r>
      <w:r>
        <w:rPr/>
        <w:t>3.《中华人民共和国地图编制出版管理条例》；</w:t>
      </w:r>
      <w:r>
        <w:br/>
      </w:r>
      <w:r>
        <w:rPr/>
        <w:t>4.《基础测绘条例》；</w:t>
      </w:r>
      <w:r>
        <w:br/>
      </w:r>
      <w:r>
        <w:rPr/>
        <w:t>5.《测绘地理信息质量管理办法》；</w:t>
      </w:r>
      <w:r>
        <w:br/>
      </w:r>
      <w:r>
        <w:rPr/>
        <w:t>6.《广东省测绘条例》；</w:t>
      </w:r>
      <w:r>
        <w:br/>
      </w:r>
      <w:r>
        <w:rPr/>
        <w:t>7.《1:500 1:1000 1:2000地形图航空摄影规范》（GB/T 6962-2005）</w:t>
      </w:r>
      <w:r>
        <w:br/>
      </w:r>
      <w:r>
        <w:rPr/>
        <w:t>8.《基础地理信息数字成果1：500 1：1000 1：2000 数字正射影像图》（CH/T 9008.3-2010）；</w:t>
      </w:r>
      <w:r>
        <w:br/>
      </w:r>
      <w:r>
        <w:rPr/>
        <w:t>9.《测绘成果质量检查与验收》（GB/T 24356-2009）；</w:t>
      </w:r>
      <w:r>
        <w:br/>
      </w:r>
      <w:r>
        <w:rPr/>
        <w:t>10.《数字测绘成果质量检查与验收》（GB/T 18316-2008)；</w:t>
      </w:r>
      <w:r>
        <w:br/>
      </w:r>
      <w:r>
        <w:rPr/>
        <w:t>11.《住房和城乡建设部关于印发国家园林城市申报与评选管理办法的通知》（建城〔2022〕2号）；</w:t>
      </w:r>
      <w:r>
        <w:br/>
      </w:r>
      <w:r>
        <w:rPr/>
        <w:t>12.如有最新标准，按最新标准执行。</w:t>
      </w:r>
      <w:r>
        <w:br/>
      </w:r>
      <w:r>
        <w:rPr>
          <w:b/>
        </w:rPr>
        <w:t>四、成果要求</w:t>
      </w:r>
    </w:p>
    <w:tbl>
      <w:tblPr>
        <w:tblW w:w="0" w:type="auto"/>
        <w:tblBorders>
          <w:top w:val="none" w:color="000000" w:sz="4"/>
          <w:left w:val="none" w:color="000000" w:sz="4"/>
          <w:bottom w:val="none" w:color="000000" w:sz="4"/>
          <w:right w:val="none" w:color="000000" w:sz="4"/>
          <w:insideH w:val="none"/>
          <w:insideV w:val="none"/>
        </w:tblBorders>
      </w:tblPr>
      <w:tblGrid>
        <w:gridCol w:w="748"/>
        <w:gridCol w:w="4197"/>
        <w:gridCol w:w="1394"/>
        <w:gridCol w:w="1966"/>
      </w:tblGrid>
      <w:tr>
        <w:tc>
          <w:tcPr>
            <w:tcW w:type="dxa" w:w="748"/>
            <w:tcBorders>
              <w:top w:val="single" w:color="000000" w:sz="4"/>
              <w:left w:val="single" w:color="000000" w:sz="4"/>
              <w:bottom w:val="single" w:color="000000" w:sz="4"/>
              <w:right w:val="single" w:color="000000" w:sz="4"/>
            </w:tcBorders>
            <w:shd w:fill="7F7F7F"/>
            <w:vAlign w:val="top"/>
          </w:tcPr>
          <w:p>
            <w:pPr>
              <w:jc w:val="center"/>
            </w:pPr>
            <w:r>
              <w:rPr>
                <w:b/>
                <w:sz w:val="21"/>
              </w:rPr>
              <w:t>序号</w:t>
            </w:r>
          </w:p>
        </w:tc>
        <w:tc>
          <w:tcPr>
            <w:tcW w:type="dxa" w:w="4197"/>
            <w:tcBorders>
              <w:top w:val="single" w:color="000000" w:sz="4"/>
              <w:left w:val="single" w:color="000000" w:sz="4"/>
              <w:bottom w:val="single" w:color="000000" w:sz="4"/>
              <w:right w:val="single" w:color="000000" w:sz="4"/>
            </w:tcBorders>
            <w:shd w:fill="7F7F7F"/>
            <w:vAlign w:val="top"/>
          </w:tcPr>
          <w:p>
            <w:pPr>
              <w:jc w:val="center"/>
            </w:pPr>
            <w:r>
              <w:rPr>
                <w:b/>
                <w:sz w:val="21"/>
              </w:rPr>
              <w:t>成果内容</w:t>
            </w:r>
          </w:p>
        </w:tc>
        <w:tc>
          <w:tcPr>
            <w:tcW w:type="dxa" w:w="1394"/>
            <w:tcBorders>
              <w:top w:val="single" w:color="000000" w:sz="4"/>
              <w:left w:val="single" w:color="000000" w:sz="4"/>
              <w:bottom w:val="single" w:color="000000" w:sz="4"/>
              <w:right w:val="single" w:color="000000" w:sz="4"/>
            </w:tcBorders>
            <w:shd w:fill="7F7F7F"/>
            <w:vAlign w:val="top"/>
          </w:tcPr>
          <w:p>
            <w:pPr>
              <w:jc w:val="center"/>
            </w:pPr>
            <w:r>
              <w:rPr>
                <w:b/>
                <w:sz w:val="21"/>
              </w:rPr>
              <w:t>数量</w:t>
            </w:r>
          </w:p>
        </w:tc>
        <w:tc>
          <w:tcPr>
            <w:tcW w:type="dxa" w:w="1966"/>
            <w:tcBorders>
              <w:top w:val="single" w:color="000000" w:sz="4"/>
              <w:left w:val="single" w:color="000000" w:sz="4"/>
              <w:bottom w:val="single" w:color="000000" w:sz="4"/>
              <w:right w:val="single" w:color="000000" w:sz="4"/>
            </w:tcBorders>
            <w:shd w:fill="7F7F7F"/>
            <w:vAlign w:val="top"/>
          </w:tcPr>
          <w:p>
            <w:pPr>
              <w:jc w:val="center"/>
            </w:pPr>
            <w:r>
              <w:rPr>
                <w:b/>
                <w:sz w:val="21"/>
              </w:rPr>
              <w:t>提交格式</w:t>
            </w:r>
          </w:p>
        </w:tc>
      </w:tr>
      <w:tr>
        <w:tc>
          <w:tcPr>
            <w:tcW w:type="dxa" w:w="7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7"/>
            <w:tcBorders>
              <w:top w:val="none" w:color="000000" w:sz="4"/>
              <w:left w:val="single" w:color="000000" w:sz="4"/>
              <w:bottom w:val="single" w:color="000000" w:sz="4"/>
              <w:right w:val="single" w:color="000000" w:sz="4"/>
            </w:tcBorders>
            <w:vAlign w:val="top"/>
          </w:tcPr>
          <w:p>
            <w:pPr>
              <w:jc w:val="center"/>
            </w:pPr>
            <w:r>
              <w:rPr>
                <w:sz w:val="21"/>
              </w:rPr>
              <w:t>项目实施方案</w:t>
            </w:r>
          </w:p>
        </w:tc>
        <w:tc>
          <w:tcPr>
            <w:tcW w:type="dxa" w:w="1394"/>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1966"/>
            <w:tcBorders>
              <w:top w:val="none" w:color="000000" w:sz="4"/>
              <w:left w:val="single" w:color="000000" w:sz="4"/>
              <w:bottom w:val="single" w:color="000000" w:sz="4"/>
              <w:right w:val="single" w:color="000000" w:sz="4"/>
            </w:tcBorders>
            <w:vAlign w:val="top"/>
          </w:tcPr>
          <w:p>
            <w:pPr>
              <w:jc w:val="center"/>
            </w:pPr>
            <w:r>
              <w:rPr>
                <w:sz w:val="21"/>
              </w:rPr>
              <w:t>纸质打印盖章</w:t>
            </w:r>
          </w:p>
        </w:tc>
      </w:tr>
      <w:tr>
        <w:tc>
          <w:tcPr>
            <w:tcW w:type="dxa" w:w="7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7"/>
            <w:tcBorders>
              <w:top w:val="none" w:color="000000" w:sz="4"/>
              <w:left w:val="single" w:color="000000" w:sz="4"/>
              <w:bottom w:val="single" w:color="000000" w:sz="4"/>
              <w:right w:val="single" w:color="000000" w:sz="4"/>
            </w:tcBorders>
            <w:vAlign w:val="top"/>
          </w:tcPr>
          <w:p>
            <w:pPr>
              <w:jc w:val="center"/>
            </w:pPr>
            <w:r>
              <w:rPr>
                <w:sz w:val="21"/>
              </w:rPr>
              <w:t>项目总结</w:t>
            </w:r>
          </w:p>
        </w:tc>
        <w:tc>
          <w:tcPr>
            <w:tcW w:type="dxa" w:w="1394"/>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1966"/>
            <w:tcBorders>
              <w:top w:val="none" w:color="000000" w:sz="4"/>
              <w:left w:val="single" w:color="000000" w:sz="4"/>
              <w:bottom w:val="single" w:color="000000" w:sz="4"/>
              <w:right w:val="single" w:color="000000" w:sz="4"/>
            </w:tcBorders>
            <w:vAlign w:val="top"/>
          </w:tcPr>
          <w:p>
            <w:pPr>
              <w:jc w:val="center"/>
            </w:pPr>
            <w:r>
              <w:rPr>
                <w:sz w:val="21"/>
              </w:rPr>
              <w:t>纸质打印盖章</w:t>
            </w:r>
          </w:p>
        </w:tc>
      </w:tr>
      <w:tr>
        <w:tc>
          <w:tcPr>
            <w:tcW w:type="dxa" w:w="7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97"/>
            <w:tcBorders>
              <w:top w:val="none" w:color="000000" w:sz="4"/>
              <w:left w:val="single" w:color="000000" w:sz="4"/>
              <w:bottom w:val="single" w:color="000000" w:sz="4"/>
              <w:right w:val="single" w:color="000000" w:sz="4"/>
            </w:tcBorders>
            <w:vAlign w:val="top"/>
          </w:tcPr>
          <w:p>
            <w:pPr>
              <w:jc w:val="center"/>
            </w:pPr>
            <w:r>
              <w:rPr>
                <w:sz w:val="21"/>
              </w:rPr>
              <w:t>遥感调查与测评基础数据库</w:t>
            </w:r>
          </w:p>
        </w:tc>
        <w:tc>
          <w:tcPr>
            <w:tcW w:type="dxa" w:w="1394"/>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1966"/>
            <w:tcBorders>
              <w:top w:val="none" w:color="000000" w:sz="4"/>
              <w:left w:val="single" w:color="000000" w:sz="4"/>
              <w:bottom w:val="single" w:color="000000" w:sz="4"/>
              <w:right w:val="single" w:color="000000" w:sz="4"/>
            </w:tcBorders>
            <w:vAlign w:val="top"/>
          </w:tcPr>
          <w:p>
            <w:pPr>
              <w:jc w:val="center"/>
            </w:pPr>
            <w:r>
              <w:rPr>
                <w:sz w:val="21"/>
              </w:rPr>
              <w:t>电子数据</w:t>
            </w:r>
          </w:p>
        </w:tc>
      </w:tr>
      <w:tr>
        <w:tc>
          <w:tcPr>
            <w:tcW w:type="dxa" w:w="7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97"/>
            <w:tcBorders>
              <w:top w:val="none" w:color="000000" w:sz="4"/>
              <w:left w:val="single" w:color="000000" w:sz="4"/>
              <w:bottom w:val="single" w:color="000000" w:sz="4"/>
              <w:right w:val="single" w:color="000000" w:sz="4"/>
            </w:tcBorders>
            <w:vAlign w:val="top"/>
          </w:tcPr>
          <w:p>
            <w:pPr>
              <w:jc w:val="center"/>
            </w:pPr>
            <w:r>
              <w:rPr>
                <w:sz w:val="21"/>
              </w:rPr>
              <w:t>绿道数据库</w:t>
            </w:r>
          </w:p>
        </w:tc>
        <w:tc>
          <w:tcPr>
            <w:tcW w:type="dxa" w:w="1394"/>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1966"/>
            <w:tcBorders>
              <w:top w:val="none" w:color="000000" w:sz="4"/>
              <w:left w:val="single" w:color="000000" w:sz="4"/>
              <w:bottom w:val="single" w:color="000000" w:sz="4"/>
              <w:right w:val="single" w:color="000000" w:sz="4"/>
            </w:tcBorders>
            <w:vAlign w:val="top"/>
          </w:tcPr>
          <w:p>
            <w:pPr>
              <w:jc w:val="center"/>
            </w:pPr>
            <w:r>
              <w:rPr>
                <w:sz w:val="21"/>
              </w:rPr>
              <w:t>电子数据</w:t>
            </w:r>
          </w:p>
        </w:tc>
      </w:tr>
      <w:tr>
        <w:tc>
          <w:tcPr>
            <w:tcW w:type="dxa" w:w="7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97"/>
            <w:tcBorders>
              <w:top w:val="none" w:color="000000" w:sz="4"/>
              <w:left w:val="single" w:color="000000" w:sz="4"/>
              <w:bottom w:val="single" w:color="000000" w:sz="4"/>
              <w:right w:val="single" w:color="000000" w:sz="4"/>
            </w:tcBorders>
            <w:vAlign w:val="top"/>
          </w:tcPr>
          <w:p>
            <w:pPr>
              <w:jc w:val="center"/>
            </w:pPr>
            <w:r>
              <w:rPr>
                <w:sz w:val="21"/>
              </w:rPr>
              <w:t>数据分析及指标测算报告</w:t>
            </w:r>
          </w:p>
        </w:tc>
        <w:tc>
          <w:tcPr>
            <w:tcW w:type="dxa" w:w="1394"/>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1966"/>
            <w:tcBorders>
              <w:top w:val="none" w:color="000000" w:sz="4"/>
              <w:left w:val="single" w:color="000000" w:sz="4"/>
              <w:bottom w:val="single" w:color="000000" w:sz="4"/>
              <w:right w:val="single" w:color="000000" w:sz="4"/>
            </w:tcBorders>
            <w:vAlign w:val="top"/>
          </w:tcPr>
          <w:p>
            <w:pPr>
              <w:jc w:val="center"/>
            </w:pPr>
            <w:r>
              <w:rPr>
                <w:sz w:val="21"/>
              </w:rPr>
              <w:t>纸质打印盖章</w:t>
            </w:r>
          </w:p>
        </w:tc>
      </w:tr>
      <w:tr>
        <w:tc>
          <w:tcPr>
            <w:tcW w:type="dxa" w:w="7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197"/>
            <w:tcBorders>
              <w:top w:val="none" w:color="000000" w:sz="4"/>
              <w:left w:val="single" w:color="000000" w:sz="4"/>
              <w:bottom w:val="single" w:color="000000" w:sz="4"/>
              <w:right w:val="single" w:color="000000" w:sz="4"/>
            </w:tcBorders>
            <w:vAlign w:val="top"/>
          </w:tcPr>
          <w:p>
            <w:pPr>
              <w:jc w:val="center"/>
            </w:pPr>
            <w:r>
              <w:rPr>
                <w:sz w:val="21"/>
              </w:rPr>
              <w:t>专题图编制成果</w:t>
            </w:r>
          </w:p>
        </w:tc>
        <w:tc>
          <w:tcPr>
            <w:tcW w:type="dxa" w:w="1394"/>
            <w:tcBorders>
              <w:top w:val="none" w:color="000000" w:sz="4"/>
              <w:left w:val="single" w:color="000000" w:sz="4"/>
              <w:bottom w:val="single" w:color="000000" w:sz="4"/>
              <w:right w:val="single" w:color="000000" w:sz="4"/>
            </w:tcBorders>
            <w:vAlign w:val="top"/>
          </w:tcPr>
          <w:p>
            <w:pPr>
              <w:jc w:val="center"/>
            </w:pPr>
            <w:r>
              <w:rPr>
                <w:sz w:val="21"/>
              </w:rPr>
              <w:t>10套</w:t>
            </w:r>
          </w:p>
        </w:tc>
        <w:tc>
          <w:tcPr>
            <w:tcW w:type="dxa" w:w="1966"/>
            <w:tcBorders>
              <w:top w:val="none" w:color="000000" w:sz="4"/>
              <w:left w:val="single" w:color="000000" w:sz="4"/>
              <w:bottom w:val="single" w:color="000000" w:sz="4"/>
              <w:right w:val="single" w:color="000000" w:sz="4"/>
            </w:tcBorders>
            <w:vAlign w:val="top"/>
          </w:tcPr>
          <w:p>
            <w:pPr>
              <w:jc w:val="center"/>
            </w:pPr>
            <w:r>
              <w:rPr>
                <w:sz w:val="21"/>
              </w:rPr>
              <w:t>电子数据及纸质打印数据</w:t>
            </w:r>
          </w:p>
        </w:tc>
      </w:tr>
      <w:tr>
        <w:tc>
          <w:tcPr>
            <w:tcW w:type="dxa" w:w="74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197"/>
            <w:tcBorders>
              <w:top w:val="none" w:color="000000" w:sz="4"/>
              <w:left w:val="single" w:color="000000" w:sz="4"/>
              <w:bottom w:val="single" w:color="000000" w:sz="4"/>
              <w:right w:val="single" w:color="000000" w:sz="4"/>
            </w:tcBorders>
            <w:vAlign w:val="top"/>
          </w:tcPr>
          <w:p>
            <w:pPr>
              <w:jc w:val="center"/>
            </w:pPr>
            <w:r>
              <w:rPr>
                <w:sz w:val="21"/>
              </w:rPr>
              <w:t>绿化遥感影像测评报告</w:t>
            </w:r>
          </w:p>
        </w:tc>
        <w:tc>
          <w:tcPr>
            <w:tcW w:type="dxa" w:w="1394"/>
            <w:tcBorders>
              <w:top w:val="none" w:color="000000" w:sz="4"/>
              <w:left w:val="single" w:color="000000" w:sz="4"/>
              <w:bottom w:val="single" w:color="000000" w:sz="4"/>
              <w:right w:val="single" w:color="000000" w:sz="4"/>
            </w:tcBorders>
            <w:vAlign w:val="top"/>
          </w:tcPr>
          <w:p>
            <w:pPr>
              <w:jc w:val="center"/>
            </w:pPr>
            <w:r>
              <w:rPr>
                <w:sz w:val="21"/>
              </w:rPr>
              <w:t>10套</w:t>
            </w:r>
          </w:p>
        </w:tc>
        <w:tc>
          <w:tcPr>
            <w:tcW w:type="dxa" w:w="1966"/>
            <w:tcBorders>
              <w:top w:val="none" w:color="000000" w:sz="4"/>
              <w:left w:val="single" w:color="000000" w:sz="4"/>
              <w:bottom w:val="single" w:color="000000" w:sz="4"/>
              <w:right w:val="single" w:color="000000" w:sz="4"/>
            </w:tcBorders>
            <w:vAlign w:val="top"/>
          </w:tcPr>
          <w:p>
            <w:pPr>
              <w:jc w:val="center"/>
            </w:pPr>
            <w:r>
              <w:rPr>
                <w:sz w:val="21"/>
              </w:rPr>
              <w:t>电子数据及纸质打印数据</w:t>
            </w:r>
          </w:p>
        </w:tc>
      </w:tr>
    </w:tbl>
    <w:p>
      <w:r>
        <w:rPr/>
        <w:t>说明：以上提交成果资料必须符合住房和城乡建设部的园林城市复验申报的各项要求。</w:t>
      </w:r>
      <w:r>
        <w:br/>
      </w:r>
      <w:r>
        <w:rPr>
          <w:b/>
        </w:rPr>
        <w:t>五、项目人员要求</w:t>
      </w:r>
      <w:r>
        <w:br/>
      </w:r>
      <w:r>
        <w:rPr/>
        <w:t>乙方应配备与本项目采购内容相对应的人员投入本项目。项目实施期间，未经甲方书面同意，不得变更项目负责人，不得调整在响应文件中所承诺的项目实施人员。未经甲方书面同意，乙方变更项目负责人或调整项目组实施人员，视为乙方违约，甲方有权要求乙方支付合同总额5%的违约金。</w:t>
      </w:r>
      <w:r>
        <w:br/>
      </w:r>
      <w:r>
        <w:rPr>
          <w:b/>
        </w:rPr>
        <w:t>六、服务对照执行标准：</w:t>
      </w:r>
      <w:r>
        <w:br/>
      </w:r>
      <w:r>
        <w:rPr/>
        <w:t>1.符合中华人民共和国国家和履约地相关安全质量标准、行业技术规范标准；</w:t>
      </w:r>
      <w:r>
        <w:br/>
      </w:r>
      <w:r>
        <w:rPr/>
        <w:t>2.符合竞争性磋商文件和响应承诺中各方共同认可的合理要求；</w:t>
      </w:r>
      <w:r>
        <w:br/>
      </w:r>
      <w:r>
        <w:rPr/>
        <w:t>上述各类标准与法规必须是有关官方机构最新发布的现行标准版本。</w:t>
      </w:r>
      <w:r>
        <w:br/>
      </w:r>
      <w:r>
        <w:rPr>
          <w:b/>
        </w:rPr>
        <w:t>七、投诉跟踪服务要求：</w:t>
      </w:r>
      <w:r>
        <w:br/>
      </w:r>
      <w:r>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r>
        <w:br/>
      </w:r>
      <w:r>
        <w:rPr/>
        <w:t>2.服务期内，甲方有权按本项目的管理要求对乙方进行不定期抽查检查，若对不合格的管理服务提出警告后，仍未得到有效解决时，甲方有权终止管理合同。</w:t>
      </w:r>
      <w:r>
        <w:br/>
      </w:r>
      <w:r>
        <w:rPr/>
        <w:t>3.乙方服务机构名称及地址：</w:t>
      </w:r>
    </w:p>
    <w:p>
      <w:r>
        <w:rPr>
          <w:color w:val="000000"/>
          <w:sz w:val="21"/>
        </w:rPr>
        <w:t>联系人1：          ，联系电话：            ，手机：          ；</w:t>
      </w:r>
      <w:r>
        <w:br/>
      </w:r>
      <w:r>
        <w:rPr>
          <w:color w:val="000000"/>
          <w:sz w:val="21"/>
        </w:rPr>
        <w:t>联系人2：          ，联系电话：            ，手机：          ；</w:t>
      </w:r>
      <w:r>
        <w:br/>
      </w:r>
      <w:r>
        <w:rPr>
          <w:color w:val="000000"/>
          <w:sz w:val="21"/>
        </w:rPr>
        <w:t>服务专线电话：</w:t>
      </w:r>
    </w:p>
    <w:p>
      <w:r>
        <w:rPr/>
        <w:t>4.其他服务要求：（补充内容不得对竞争性磋商文件和投标/响应文件作实质性修改）</w:t>
      </w:r>
    </w:p>
    <w:p>
      <w:r>
        <w:rPr>
          <w:sz w:val="21"/>
          <w:u w:val="single"/>
        </w:rPr>
        <w:t xml:space="preserve">                                                          </w:t>
      </w:r>
      <w:r>
        <w:rPr>
          <w:color w:val="000000"/>
          <w:sz w:val="21"/>
        </w:rPr>
        <w:t>。</w:t>
      </w:r>
    </w:p>
    <w:p>
      <w:r>
        <w:rPr>
          <w:b/>
        </w:rPr>
        <w:t>八、验收要求：</w:t>
      </w:r>
      <w:r>
        <w:rPr/>
        <w:t xml:space="preserve"> </w:t>
      </w:r>
      <w:r>
        <w:br/>
      </w:r>
      <w:r>
        <w:rPr/>
        <w:t>1.甲方按竞争性磋商文件、响应文件以及服务合同条款进行验收，验收应符合国家、广东省、佛山市或行业的有关规定。</w:t>
      </w:r>
      <w:r>
        <w:br/>
      </w:r>
      <w:r>
        <w:rPr/>
        <w:t>2.项目成果须通过专家评审会评审（评审专家费用由乙方承担），并经甲方书面确认验收。</w:t>
      </w:r>
      <w:r>
        <w:br/>
      </w:r>
      <w:r>
        <w:rPr/>
        <w:t>3.乙方应在验收通过后向甲方提供完整的最终成果。</w:t>
      </w:r>
      <w:r>
        <w:br/>
      </w:r>
      <w:r>
        <w:rPr/>
        <w:t>4.甲方在收到乙方项目验收建议之日起7个工作日内按照合同的约定对履约情况进行验收。乙方需为验收提供必需的一切条件及相关费用，并提供本项目的相关文档和验收所需资料，积极配合甲方完成验收工作。</w:t>
      </w:r>
      <w:r>
        <w:br/>
      </w:r>
      <w:r>
        <w:rPr/>
        <w:t>5.其他验收要求：（补充内容不得对竞争性磋商文件和投标/响应文件作实质性修改）</w:t>
      </w:r>
      <w:r>
        <w:br/>
      </w:r>
      <w:r>
        <w:rPr>
          <w:u w:val="single"/>
        </w:rPr>
        <w:t xml:space="preserve">                                </w:t>
      </w:r>
      <w:r>
        <w:rPr/>
        <w:t>。</w:t>
      </w:r>
      <w:r>
        <w:br/>
      </w:r>
      <w:r>
        <w:rPr>
          <w:b/>
        </w:rPr>
        <w:t>九、知识产权和保密要求：</w:t>
      </w:r>
      <w:r>
        <w:br/>
      </w:r>
      <w:r>
        <w:rPr/>
        <w:t>1.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本项目知识产权归甲方所有。</w:t>
      </w:r>
      <w:r>
        <w:br/>
      </w:r>
      <w:r>
        <w:rPr/>
        <w:t>2.项目实施过程中至乙方正式向甲方交付技术文档资料时止，乙方必须对本项目实施过程中涉及的技术方案、数据资源、文件资料及合同具体内容等项目相关资料进行保密，本项目涉及的地形图等基础测绘成果，需符合住房和城乡建设部的园林城市复验申报的保密处理要求。未经过甲方书面文件许可，乙方不得以任何方式向第三方透露，且保密责任不因合同的中止或解除而失效。如有关技术文档和数据资料被泄密，给甲方造成损失的,乙方应承担赔偿责任；构成犯罪的,依法追究乙方刑事责任。项目完成后，甲、乙双方均有责任对本项目的技术保密承担责任。</w:t>
      </w:r>
      <w:r>
        <w:br/>
      </w:r>
      <w:r>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r>
        <w:br/>
      </w:r>
      <w:r>
        <w:rPr/>
        <w:t>2）除了合同本身之外，上款所列举的任何物件均是甲方的财产。如果甲方有要求，乙方在完成合同后应将这些物件及全部复制件还给甲方。</w:t>
      </w:r>
      <w:r>
        <w:br/>
      </w:r>
      <w:r>
        <w:rPr>
          <w:b/>
        </w:rPr>
        <w:t>十、违约责任：</w:t>
      </w:r>
      <w:r>
        <w:br/>
      </w:r>
      <w:r>
        <w:rPr/>
        <w:t>1.乙方提供的服务不符合竞争性磋商文件、响应文件或本合同规定的，甲方有权拒收，乙方应在在甲方规定的期限内更正，乙方交货期限不予顺延，乙方不予更正或更正后仍不符合合同约定的，甲方有权解除合同，要求乙方支付合同总额30%的违约金，造成甲方其他损失的，乙方应予以赔偿。</w:t>
      </w:r>
      <w:r>
        <w:br/>
      </w:r>
      <w:r>
        <w:rPr/>
        <w:t>2.乙方未能按本合同规定的时间或提供服务的，从逾期之日起每日按本合同总价万分之五的数额向甲方支付违约金；逾期15天以上（含15天）的，甲方有权解除合同，要求乙方支付合同总额30%的违约金，造成甲方其他损失的，乙方应予以赔偿。</w:t>
      </w:r>
      <w:r>
        <w:br/>
      </w:r>
      <w:r>
        <w:rPr/>
        <w:t>3.甲方无正当理由拒绝服务，到期拒付服务款项的，则从逾期之日起每日按当期应付款的万分之五向乙方偿付违约金。</w:t>
      </w:r>
      <w:r>
        <w:br/>
      </w:r>
      <w:r>
        <w:rPr/>
        <w:t>4.乙方未经甲方事先书面同意，将其应履行的合同项下的义务部分或全部转让给第三人的，甲方有权解除合同，要求乙方支付合同总额30%的违约金，造成甲方其他损失的，乙方应予以赔偿。</w:t>
      </w:r>
      <w:r>
        <w:br/>
      </w:r>
      <w:r>
        <w:rPr/>
        <w:t>5. 因一方违约致使本合同的履行产生争议，守约方为解决争议所产生的诉讼费、鉴定费、财产保全费、诉讼保全责任保险费、公证费、律师费、交通费、通讯费、差旅费、文印费等合理费用由违约方承担。</w:t>
      </w:r>
      <w:r>
        <w:br/>
      </w:r>
      <w:r>
        <w:rPr/>
        <w:t>6.其它违约责任按《中华人民共和国民法典》处理。</w:t>
      </w:r>
      <w:r>
        <w:br/>
      </w:r>
      <w:r>
        <w:rPr>
          <w:b/>
        </w:rPr>
        <w:t>十一、提出异议的时间和方法：</w:t>
      </w:r>
      <w:r>
        <w:br/>
      </w:r>
      <w:r>
        <w:rPr/>
        <w:t>1.甲方有异议时，应</w:t>
      </w:r>
      <w:r>
        <w:rPr>
          <w:u w:val="single"/>
        </w:rPr>
        <w:t xml:space="preserve">  </w:t>
      </w:r>
      <w:r>
        <w:rPr/>
        <w:t>天内向乙方提出书面异议。</w:t>
      </w:r>
      <w:r>
        <w:br/>
      </w:r>
      <w:r>
        <w:rPr/>
        <w:t>2.乙方在接到甲方书面异议后，应在3天内负责处理并函复甲方处理情况，否则，即视为默认甲方提出的异议和处理意见。</w:t>
      </w:r>
      <w:r>
        <w:br/>
      </w:r>
      <w:r>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r>
        <w:br/>
      </w:r>
      <w:r>
        <w:rPr>
          <w:b/>
        </w:rPr>
        <w:t>十二、送达</w:t>
      </w:r>
      <w:r>
        <w:br/>
      </w:r>
      <w:r>
        <w:rPr/>
        <w:t>1.为联络和送达方便，各自确认可用以下方式送达：</w:t>
      </w:r>
      <w:r>
        <w:br/>
      </w:r>
      <w:r>
        <w:rPr/>
        <w:t xml:space="preserve">甲方的送达地址：                       收件人：           </w:t>
      </w:r>
      <w:r>
        <w:br/>
      </w:r>
      <w:r>
        <w:rPr/>
        <w:t xml:space="preserve">电子邮箱：                             手机号：                </w:t>
      </w:r>
      <w:r>
        <w:br/>
      </w:r>
      <w:r>
        <w:rPr/>
        <w:t xml:space="preserve">微信号：                   </w:t>
      </w:r>
      <w:r>
        <w:br/>
      </w:r>
      <w:r>
        <w:rPr/>
        <w:t xml:space="preserve">乙方的送达地址：                       收件人：         </w:t>
      </w:r>
      <w:r>
        <w:br/>
      </w:r>
      <w:r>
        <w:rPr/>
        <w:t xml:space="preserve">电子邮箱：                              手机号：                     </w:t>
      </w:r>
      <w:r>
        <w:br/>
      </w:r>
      <w:r>
        <w:rPr/>
        <w:t xml:space="preserve">微信号：                      </w:t>
      </w:r>
      <w:r>
        <w:br/>
      </w:r>
      <w:r>
        <w:rPr/>
        <w:t>2.任何一方变更送达地址、邮箱、电话、微信号、传真号码，应在变更当日以书面形式通知对方。否则，视为未变更，由此导致的一切法律责任和经济损失由变更一方承担。</w:t>
      </w:r>
      <w:r>
        <w:br/>
      </w:r>
      <w:r>
        <w:rPr/>
        <w:t>3.本合同规定的任何通知或通讯文件按合同载明的联系方法由专人传送、或挂号邮寄、特快专递或传真、邮件、电话、微信送达，凡按合同约定联系方式进行的通知即为有效通知。采取发送短信、传真、微信、电子邮件的方式送达的，以文书到达对方特定系统日期为送达日期；采取邮寄方式送达的，文件邮寄至指定地址即可，以邮寄回执上注明的收件日期为送达日期，拒收或无人签收的以邮件退回日期为送达日期。</w:t>
      </w:r>
      <w:r>
        <w:br/>
      </w:r>
      <w:r>
        <w:rPr/>
        <w:t>4.双方确认，若双方履行合同发生争议时，上述各方邮寄地址同时亦为该方接收司法机关送达司法文书的送达地址，司法机关按上述地址邮寄送达司法文书的，以邮寄回执上注明的收件日期为送达日期，拒收或无人签收的以邮件退回日期为送达日期。</w:t>
      </w:r>
      <w:r>
        <w:br/>
      </w:r>
      <w:r>
        <w:rPr>
          <w:b/>
        </w:rPr>
        <w:t>十三、争议的解决：</w:t>
      </w:r>
      <w:r>
        <w:br/>
      </w:r>
      <w:r>
        <w:rPr/>
        <w:t>1.合同履行过程中发生的任何争议，如双方未能通过友好协商解决，应向佛山市有管辖权的人民法院提起诉讼。</w:t>
      </w:r>
      <w:r>
        <w:br/>
      </w:r>
      <w:r>
        <w:rPr/>
        <w:t>2.法院审理期间，除提交法院审理的事项外，其它无争议的事项和条款仍应继续履行。</w:t>
      </w:r>
      <w:r>
        <w:br/>
      </w:r>
      <w:r>
        <w:rPr>
          <w:b/>
        </w:rPr>
        <w:t xml:space="preserve">十四、不可抗力： </w:t>
      </w:r>
      <w:r>
        <w:br/>
      </w:r>
      <w:r>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r>
        <w:br/>
      </w:r>
      <w:r>
        <w:rPr>
          <w:b/>
        </w:rPr>
        <w:t>十五、税费：</w:t>
      </w:r>
      <w:r>
        <w:br/>
      </w:r>
      <w:r>
        <w:rPr/>
        <w:t>1.本合同实施过程中所发生的一切税费及不可预见费均由乙方承担。</w:t>
      </w:r>
      <w:r>
        <w:br/>
      </w:r>
      <w:r>
        <w:rPr/>
        <w:t>2.乙方依照税务规章优先在合同履约地开具发票及纳税，咨询：0757-12366。</w:t>
      </w:r>
      <w:r>
        <w:br/>
      </w:r>
      <w:r>
        <w:rPr/>
        <w:t>十六、合同生效与合同备案：</w:t>
      </w:r>
      <w:r>
        <w:br/>
      </w:r>
      <w:r>
        <w:rPr/>
        <w:t>1.本合同在甲乙双方法人代表或其授权代表签字盖章后生效。</w:t>
      </w:r>
      <w:r>
        <w:br/>
      </w:r>
      <w:r>
        <w:rPr/>
        <w:t>2.自采购合同签订之日起7个工作日内，由甲方按照有关规定将采购合同副本报同级人民政府财政部门（政府采购管理部门）备案。</w:t>
      </w:r>
      <w:r>
        <w:br/>
      </w:r>
      <w:r>
        <w:rPr/>
        <w:t>十七、乙方应提供的资料内容：</w:t>
      </w:r>
      <w:r>
        <w:br/>
      </w:r>
      <w:r>
        <w:rPr>
          <w:u w:val="single"/>
        </w:rPr>
        <w:t xml:space="preserve">                              </w:t>
      </w:r>
      <w:r>
        <w:rPr/>
        <w:t>。</w:t>
      </w:r>
      <w:r>
        <w:br/>
      </w:r>
      <w:r>
        <w:rPr>
          <w:b/>
        </w:rPr>
        <w:t>十八、关于政府采购合同融资</w:t>
      </w:r>
      <w:r>
        <w:br/>
      </w:r>
      <w:r>
        <w:rPr/>
        <w:t>1.乙方是否已申请政府采购合同融资：</w:t>
      </w:r>
      <w:r>
        <w:rPr>
          <w:u w:val="single"/>
        </w:rPr>
        <w:t xml:space="preserve"> 是  / 否</w:t>
      </w:r>
      <w:r>
        <w:rPr/>
        <w:t xml:space="preserve"> ；</w:t>
      </w:r>
      <w:r>
        <w:br/>
      </w:r>
      <w:r>
        <w:rPr/>
        <w:t>2.融资银行及联系方式：</w:t>
      </w:r>
      <w:r>
        <w:rPr>
          <w:u w:val="single"/>
        </w:rPr>
        <w:t xml:space="preserve">                   </w:t>
      </w:r>
      <w:r>
        <w:rPr/>
        <w:t>。</w:t>
      </w:r>
      <w:r>
        <w:br/>
      </w:r>
      <w:r>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br/>
      </w:r>
      <w:r>
        <w:rPr>
          <w:b/>
        </w:rPr>
        <w:t>十九、其它：</w:t>
      </w:r>
      <w:r>
        <w:br/>
      </w:r>
      <w:r>
        <w:rPr/>
        <w:t>1.所有经一方或双方签署确认的文件（包括会议纪要、补充协议、往来信函）、竞争性磋商文件、要约文件和响应承诺文件、合同附件及中标（成交）通知书均为本合同不可分割的有效组成部分，与本合同具有同等的法律效力和履约义务，其缔约生效日期为有效签署或盖章确认之日期。</w:t>
      </w:r>
      <w:r>
        <w:br/>
      </w:r>
      <w:r>
        <w:rPr/>
        <w:t>2.如一方（包括联系人）地址、电话、传真号码有变更，应在变更后3个工作日内书面通知对方联系人或负责人，否则，因此造成的损失由未履行通知义务方承担相应责任。</w:t>
      </w:r>
      <w:r>
        <w:br/>
      </w:r>
      <w:r>
        <w:rPr/>
        <w:t>3.未经甲方书面同意，乙方不得擅自向第三方转让其主体性和关键性合同义务。</w:t>
      </w:r>
      <w:r>
        <w:br/>
      </w:r>
      <w:r>
        <w:rPr/>
        <w:t>4.本合同一式</w:t>
      </w:r>
      <w:r>
        <w:rPr>
          <w:u w:val="single"/>
        </w:rPr>
        <w:t xml:space="preserve">  </w:t>
      </w:r>
      <w:r>
        <w:rPr/>
        <w:t>份，甲方执</w:t>
      </w:r>
      <w:r>
        <w:rPr>
          <w:u w:val="single"/>
        </w:rPr>
        <w:t xml:space="preserve"> </w:t>
      </w:r>
      <w:r>
        <w:rPr/>
        <w:t>份，乙方执</w:t>
      </w:r>
      <w:r>
        <w:rPr>
          <w:u w:val="single"/>
        </w:rPr>
        <w:t xml:space="preserve"> </w:t>
      </w:r>
      <w:r>
        <w:rPr/>
        <w:t>份，代理机构执壹份。</w:t>
      </w:r>
      <w:r>
        <w:br/>
      </w:r>
      <w:r>
        <w:rPr/>
        <w:t>5.本合同（含附件）共计</w:t>
      </w:r>
      <w:r>
        <w:rPr>
          <w:u w:val="single"/>
        </w:rPr>
        <w:t xml:space="preserve">  </w:t>
      </w:r>
      <w:r>
        <w:rPr/>
        <w:t>页，缺页之合同为无效合同。</w:t>
      </w:r>
      <w:r>
        <w:br/>
      </w:r>
      <w:r>
        <w:rPr/>
        <w:t>6.本合同签约履约地点：广东省佛山市。</w:t>
      </w:r>
      <w:r>
        <w:br/>
      </w:r>
      <w:r>
        <w:rPr/>
        <w:t>7.本合同所指“书面通知”包括但不限于短信、电子邮件等数据电文的通知形式，到达时间以民事诉讼法的规定为准，但进行书面通知前后，通知方均有义务电话确认通知事项。</w:t>
      </w:r>
      <w:r>
        <w:br/>
      </w:r>
      <w:r>
        <w:rPr/>
        <w:t>8.双方均已对以上各条款及附件作充分了解，并明确理解由此而产生的相关权责。</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30"/>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r>
        <w:rPr>
          <w:b/>
          <w:color w:val="000000"/>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center"/>
      </w:pPr>
    </w:p>
    <w:p>
      <w:pPr>
        <w:jc w:val="center"/>
      </w:pPr>
    </w:p>
    <w:p>
      <w:pPr>
        <w:jc w:val="center"/>
      </w:pPr>
    </w:p>
    <w:p>
      <w:pPr>
        <w:jc w:val="center"/>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440601-2023-00960</w:t>
      </w:r>
    </w:p>
    <w:p>
      <w:pPr>
        <w:jc w:val="center"/>
      </w:pPr>
      <w:r>
        <w:rPr>
          <w:b/>
          <w:sz w:val="24"/>
        </w:rPr>
        <w:t>采购项目编号：</w:t>
      </w:r>
      <w:r>
        <w:rPr>
          <w:b/>
          <w:sz w:val="24"/>
        </w:rPr>
        <w:t>XY0123011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佛山市城市绿化遥感调查与测评</w:t>
      </w:r>
      <w:r>
        <w:rPr>
          <w:u w:val="single"/>
        </w:rPr>
        <w:t>”</w:t>
      </w:r>
      <w:r>
        <w:rPr/>
        <w:t>项目的竞争性磋商[采购项目编号为：</w:t>
      </w:r>
      <w:r>
        <w:rPr>
          <w:u w:val="single"/>
        </w:rPr>
        <w:t>XY0123011</w:t>
      </w:r>
      <w:r>
        <w:rPr/>
        <w:t>]，我方愿参与响应。</w:t>
      </w:r>
    </w:p>
    <w:p>
      <w:pPr>
        <w:ind w:firstLine="480"/>
      </w:pPr>
      <w:r>
        <w:rPr/>
        <w:t>我方确认收到贵方提供的</w:t>
      </w:r>
      <w:r>
        <w:rPr>
          <w:u w:val="single"/>
        </w:rPr>
        <w:t>“</w:t>
      </w:r>
      <w:r>
        <w:rPr>
          <w:u w:val="single"/>
        </w:rPr>
        <w:t>佛山市城市绿化遥感调查与测评</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佛山市城市绿化遥感调查与测评</w:t>
      </w:r>
      <w:r>
        <w:rPr/>
        <w:t>”项目采购[采购项目编号为</w:t>
      </w:r>
      <w:r>
        <w:rPr/>
        <w:t>XY0123011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佛山市城市管理和综合执法局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佛山市城市绿化遥感调查与测评</w:t>
      </w:r>
      <w:r>
        <w:rPr/>
        <w:t>（采购项目编号：</w:t>
      </w:r>
      <w:r>
        <w:rPr/>
        <w:t>XY0123011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佛山市城市绿化遥感调查与测评</w:t>
      </w:r>
      <w:r>
        <w:rPr/>
        <w:t>”项目（采购项目编号：</w:t>
      </w:r>
      <w:r>
        <w:rPr/>
        <w:t>XY0123011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