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440604-2023-03061</w:t>
      </w:r>
    </w:p>
    <w:p>
      <w:pPr>
        <w:jc w:val="center"/>
      </w:pPr>
      <w:r>
        <w:rPr>
          <w:b/>
          <w:sz w:val="24"/>
        </w:rPr>
        <w:t>采购项目编号：</w:t>
      </w:r>
      <w:r>
        <w:rPr>
          <w:b/>
          <w:sz w:val="24"/>
        </w:rPr>
        <w:t>XY0123066</w:t>
      </w:r>
    </w:p>
    <w:p>
      <w:pPr>
        <w:jc w:val="center"/>
      </w:pPr>
      <w:r>
        <w:rPr>
          <w:b/>
          <w:sz w:val="24"/>
        </w:rPr>
        <w:t>项目名称：</w:t>
      </w:r>
      <w:r>
        <w:rPr>
          <w:b/>
          <w:sz w:val="24"/>
        </w:rPr>
        <w:t>南庄镇市容环境管理文明劝导外包服务（2023年）采购项目</w:t>
      </w:r>
    </w:p>
    <w:p>
      <w:pPr>
        <w:jc w:val="center"/>
      </w:pPr>
      <w:r>
        <w:rPr>
          <w:b/>
          <w:sz w:val="24"/>
        </w:rPr>
        <w:t>采购人：</w:t>
      </w:r>
      <w:r>
        <w:rPr>
          <w:b/>
          <w:sz w:val="24"/>
        </w:rPr>
        <w:t>佛山市禅城区南庄镇综合行政执法办公室（佛山市禅城区南庄镇综合行政执法队）</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 磋商邀请</w:t>
      </w:r>
    </w:p>
    <w:p>
      <w:pPr>
        <w:ind w:firstLine="480"/>
      </w:pPr>
      <w:r>
        <w:rPr/>
        <w:t>佛山市信悦咨询有限公司</w:t>
      </w:r>
      <w:r>
        <w:rPr/>
        <w:t>受</w:t>
      </w:r>
      <w:r>
        <w:rPr/>
        <w:t>佛山市禅城区南庄镇综合行政执法办公室（佛山市禅城区南庄镇综合行政执法队）</w:t>
      </w:r>
      <w:r>
        <w:rPr/>
        <w:t>的委托，采用</w:t>
      </w:r>
      <w:r>
        <w:rPr/>
        <w:t>竞争性磋商</w:t>
      </w:r>
      <w:r>
        <w:rPr/>
        <w:t>方式组织采购</w:t>
      </w:r>
      <w:r>
        <w:rPr/>
        <w:t>南庄镇市容环境管理文明劝导外包服务（2023年）采购项目</w:t>
      </w:r>
      <w:r>
        <w:rPr/>
        <w:t>。欢迎符合资格条件的供应商参加。</w:t>
      </w:r>
    </w:p>
    <w:p>
      <w:r>
        <w:rPr>
          <w:b/>
          <w:sz w:val="28"/>
        </w:rPr>
        <w:t>一.项目概述</w:t>
      </w:r>
    </w:p>
    <w:p>
      <w:r>
        <w:rPr>
          <w:b/>
          <w:sz w:val="24"/>
        </w:rPr>
        <w:t>1.名称与编号</w:t>
      </w:r>
    </w:p>
    <w:p>
      <w:pPr>
        <w:ind w:firstLine="480"/>
      </w:pPr>
      <w:r>
        <w:rPr/>
        <w:t>采购项目名称：</w:t>
      </w:r>
      <w:r>
        <w:rPr/>
        <w:t>南庄镇市容环境管理文明劝导外包服务（2023年）采购项目</w:t>
      </w:r>
    </w:p>
    <w:p>
      <w:pPr>
        <w:ind w:firstLine="480"/>
      </w:pPr>
      <w:r>
        <w:rPr/>
        <w:t>采购计划编号：</w:t>
      </w:r>
      <w:r>
        <w:rPr/>
        <w:t>440604-2023-03061</w:t>
      </w:r>
    </w:p>
    <w:p>
      <w:pPr>
        <w:ind w:firstLine="480"/>
      </w:pPr>
      <w:r>
        <w:rPr/>
        <w:t>采购项目编号：</w:t>
      </w:r>
      <w:r>
        <w:rPr/>
        <w:t>XY0123066</w:t>
      </w:r>
    </w:p>
    <w:p>
      <w:pPr>
        <w:ind w:firstLine="480"/>
      </w:pPr>
      <w:r>
        <w:rPr/>
        <w:t>采购方式：</w:t>
      </w:r>
      <w:r>
        <w:rPr/>
        <w:t>竞争性磋商</w:t>
      </w:r>
    </w:p>
    <w:p>
      <w:pPr>
        <w:ind w:firstLine="480"/>
      </w:pPr>
      <w:r>
        <w:rPr/>
        <w:t>预算金额：</w:t>
      </w:r>
      <w:r>
        <w:rPr/>
        <w:t>1,577,427.25</w:t>
      </w:r>
      <w:r>
        <w:rPr/>
        <w:t>元</w:t>
      </w:r>
    </w:p>
    <w:p>
      <w:r>
        <w:rPr>
          <w:b/>
          <w:sz w:val="24"/>
        </w:rPr>
        <w:t>2.项目内容及需求情况（采购项目技术规格、参数及要求）</w:t>
      </w:r>
    </w:p>
    <w:p>
      <w:pPr>
        <w:ind w:firstLine="480"/>
      </w:pPr>
    </w:p>
    <w:p/>
    <w:p>
      <w:r>
        <w:rPr/>
        <w:t>采购包1(南庄镇市容环境管理文明劝导外包服务（2023年）采购项目):</w:t>
      </w:r>
    </w:p>
    <w:p>
      <w:r>
        <w:rPr/>
        <w:t>采购包预算金额：1,577,427.25元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南庄镇市容环境管理文明劝导外包服务（2023年）采购项目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合同履行期限：合同生效成交供应商进场，经采购人验收条件符合后开始计算服务时间，服务时间为自起算之日起计算365天。</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复印件，如国家另有规定的，则从其定。【分支机构响应的，须提供总公司（总所）和分公司营业执照（执业许可证）副本复印件，具有法人资格的总公司（总所）出具给分支机构的授权书。已由总公司（总所）授权的，总公司（总所）取得的相关资质证书对分支机构有效，法律法规或者行业另有规定的除外。】</w:t>
      </w:r>
    </w:p>
    <w:p/>
    <w:p>
      <w:r>
        <w:rPr/>
        <w:t>2）有依法缴纳税收和社会保障资金的良好记录：提供响应文件递交截止日前6个月内（含截止日当月）任意1个月缴纳税收和社会保险的凭据证明材料扫描件，或依法免税（或不需要缴纳社会保障资金）的相应证明材料，或提供《政府采购供应商资格信用承诺函》（按照竞争性磋商公告附件1格式进行承诺）。</w:t>
      </w:r>
    </w:p>
    <w:p/>
    <w:p>
      <w:r>
        <w:rPr/>
        <w:t>3）具有良好的商业信誉和健全的财务会计制度：提供2022年度财务状况报告，或响应文件递交截止日前6个月内（不含截止日当月）任意1个月的财务状况报告扫描件，或提供响应文件递交截止日前6个月内（含截止日当月）基本开户行出具的资信证明扫描件，或提供《政府采购供应商资格信用承诺函》（按照竞争性磋商公告附件1格式进行承诺）。</w:t>
      </w:r>
    </w:p>
    <w:p/>
    <w:p>
      <w:r>
        <w:rPr/>
        <w:t>4）履行合同所必需的设备和专业技术能力：提供履行合同所必需的设备及专业技术情况表或相关承诺（自拟格式）。</w:t>
      </w:r>
    </w:p>
    <w:p/>
    <w:p>
      <w:r>
        <w:rPr/>
        <w:t>5）参加采购活动前3年内，在经营活动中没有重大违法记录：提供《响应承诺函》（按照竞争性磋商文件第六章《响应文件格式与要求》进行承诺），或提供《政府采购供应商资格信用承诺函》（按照竞争性磋商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采购包1（南庄镇市容环境管理文明劝导外包服务（2023年）采购项目）：</w:t>
      </w:r>
      <w:r>
        <w:rPr/>
        <w:t>采购包整体专门面向小微企业，供应商须为小微企业或监狱企业或残疾人福利性单位。本项目行业为：其他未列明行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采购包1（南庄镇市容环境管理文明劝导外包服务（2023年）采购项目）：</w:t>
      </w:r>
    </w:p>
    <w:p/>
    <w:p>
      <w:r>
        <w:rPr/>
        <w:t>1)供应商未被列入“信用中国”网站(www.creditchina.gov.cn)“失信被执行人、重大税收违法失信主体、政府采购严重违法失信行为记录名单”记录名单；不处于中国政府采购网(www.ccgp.gov.cn)“政府采购严重违法失信行为信息记录”中的禁止参加政府采购活动期间。【以采购代理机构于开标（开启）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佛山市公共资源交易网（http://ggzy.foshan.gov.cn/）、佛山市公共资源交易中心禅城分中心（http://ccggzy.chancheng.gov.cn/）、佛山市禅城区南庄镇人民政府网(www.chancheng.gov.cn/nanzhuang/)、采购代理机构网站（www.fssxyzx.com）。</w:t>
      </w:r>
    </w:p>
    <w:p>
      <w:r>
        <w:rPr>
          <w:b/>
          <w:sz w:val="28"/>
        </w:rPr>
        <w:t>六.本项目联系方式：</w:t>
      </w:r>
    </w:p>
    <w:p>
      <w:r>
        <w:rPr>
          <w:b/>
          <w:sz w:val="24"/>
        </w:rPr>
        <w:t>1.采购人信息</w:t>
      </w:r>
    </w:p>
    <w:p>
      <w:pPr>
        <w:ind w:firstLine="480"/>
      </w:pPr>
      <w:r>
        <w:rPr/>
        <w:t>名称：</w:t>
      </w:r>
      <w:r>
        <w:rPr/>
        <w:t>佛山市禅城区南庄镇综合行政执法办公室（佛山市禅城区南庄镇综合行政执法队）</w:t>
      </w:r>
    </w:p>
    <w:p>
      <w:pPr>
        <w:ind w:firstLine="480"/>
      </w:pPr>
      <w:r>
        <w:rPr/>
        <w:t>地址：</w:t>
      </w:r>
      <w:r>
        <w:rPr/>
        <w:t>广东省佛山市禅城区南庄镇解放路21号</w:t>
      </w:r>
    </w:p>
    <w:p>
      <w:pPr>
        <w:ind w:firstLine="480"/>
      </w:pPr>
      <w:r>
        <w:rPr/>
        <w:t>联系方式：</w:t>
      </w:r>
      <w:r>
        <w:rPr/>
        <w:t>0757-85339686</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w:t>
      </w:r>
    </w:p>
    <w:p>
      <w:r>
        <w:rPr>
          <w:b/>
          <w:sz w:val="24"/>
        </w:rPr>
        <w:t>3.项目联系方式</w:t>
      </w:r>
    </w:p>
    <w:p>
      <w:pPr>
        <w:ind w:firstLine="480"/>
      </w:pPr>
      <w:r>
        <w:rPr/>
        <w:t>项目联系人：</w:t>
      </w:r>
      <w:r>
        <w:rPr/>
        <w:t>李小姐</w:t>
      </w:r>
    </w:p>
    <w:p>
      <w:pPr>
        <w:ind w:firstLine="480"/>
      </w:pPr>
      <w:r>
        <w:rPr/>
        <w:t>电话：</w:t>
      </w:r>
      <w:r>
        <w:rPr/>
        <w:t>0757-83279001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pPr>
      <w:r>
        <w:rPr>
          <w:sz w:val="21"/>
        </w:rPr>
        <w:t>为响应禅城区开展</w:t>
      </w:r>
      <w:r>
        <w:rPr>
          <w:sz w:val="21"/>
        </w:rPr>
        <w:t>“湾区时代、净美禅城”号召，打造禅西新城特色田园都市、巩固美丽乡村取得成效，妥善开展佛山市城市管理考评（南庄镇村居全覆盖）工作，采购人自</w:t>
      </w:r>
      <w:r>
        <w:rPr>
          <w:sz w:val="21"/>
        </w:rPr>
        <w:t>2020</w:t>
      </w:r>
      <w:r>
        <w:rPr>
          <w:sz w:val="21"/>
        </w:rPr>
        <w:t>年</w:t>
      </w:r>
      <w:r>
        <w:rPr>
          <w:sz w:val="21"/>
        </w:rPr>
        <w:t>7</w:t>
      </w:r>
      <w:r>
        <w:rPr>
          <w:sz w:val="21"/>
        </w:rPr>
        <w:t>月开始实施了市容环境管理文明劝导外包服务项目。该项目通过对影响市容环境的城市各类乱象行为进行文明劝导，从而教育引导市民养成文明日常行为规范。服务期将于</w:t>
      </w:r>
      <w:r>
        <w:rPr>
          <w:sz w:val="21"/>
        </w:rPr>
        <w:t>2023</w:t>
      </w:r>
      <w:r>
        <w:rPr>
          <w:sz w:val="21"/>
        </w:rPr>
        <w:t>年</w:t>
      </w:r>
      <w:r>
        <w:rPr>
          <w:sz w:val="21"/>
        </w:rPr>
        <w:t>8</w:t>
      </w:r>
      <w:r>
        <w:rPr>
          <w:sz w:val="21"/>
        </w:rPr>
        <w:t>月底到期，为持续提升佛山市禅城区南庄镇市容环境管理水平，采购人拟启动南庄镇市容环境管理文明劝导外包服务（</w:t>
      </w:r>
      <w:r>
        <w:rPr>
          <w:sz w:val="21"/>
        </w:rPr>
        <w:t>2023</w:t>
      </w:r>
      <w:r>
        <w:rPr>
          <w:sz w:val="21"/>
        </w:rPr>
        <w:t>年）采购项目。</w:t>
      </w:r>
    </w:p>
    <w:p>
      <w:pPr>
        <w:ind w:firstLine="420"/>
      </w:pPr>
      <w:r>
        <w:rPr>
          <w:sz w:val="21"/>
        </w:rPr>
        <w:t>南庄镇市容环境管理文明劝导外包服务（</w:t>
      </w:r>
      <w:r>
        <w:rPr>
          <w:sz w:val="21"/>
        </w:rPr>
        <w:t>2023</w:t>
      </w:r>
      <w:r>
        <w:rPr>
          <w:sz w:val="21"/>
        </w:rPr>
        <w:t>年）采购项目拟在上期的成效基础上，通过加强运用信息管理系统压实服务责任、优化区域资源配置、深化劝导模式（与区非现场执法模块、市容黑点布控等结合）实现服务精准化，达到压缩财政支出的同时提高项目的绩效性和产出比的目标。</w:t>
      </w:r>
    </w:p>
    <w:p/>
    <w:p>
      <w:pPr>
        <w:ind w:firstLine="480"/>
      </w:pPr>
    </w:p>
    <w:p/>
    <w:p>
      <w:r>
        <w:rPr/>
        <w:t>采购包1（南庄镇市容环境管理文明劝导外包服务（2023年）采购项目）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合同生效成交供应商进场，经采购人验收条件符合后开始计算服务时间，服务时间为自起算之日起365天。</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1期：支付比例100%,由采购人按下列程序付款：  1.合同生效后，成交供应商向采购人按季度收取服务费用，每季度采购人验收合格收到成交供应商开具的合法发票后15日内支付上季度服务费用。验收不合格且须进行整改，整改合格后再支付该季度服务费用。每季度的服务费用是指合同金额除以四个季度所得出的金额再扣减应扣款项或应罚款项（如有）所得出的最终金额。 2.成交供应商凭以下有效文件与采购人结算： （1）合同； （2）成交供应商开具的正式发票； （3）验收报告（加盖采购人公章，最后一期款项支付时提供）； （4）成交通知书。 成交供应商收款时必须持有效发票与采购人结算。收款方、出具发票方、合同乙方均必须与成交供应商名称一致。成交供应商应理解政府部门付款的相关程序，因采购人使用的是财政资金，采购人在前款规定的付款时间为向政府采购支付部门提出办理财政支付申请手续的时间（不含政府财政支付部门审核的时间），在规定时间内提出支付申请手续后即视为采购人已经按期支付。付款期间如因特殊情况需调整，由双方协商处理。</w:t>
            </w:r>
          </w:p>
        </w:tc>
      </w:tr>
      <w:tr>
        <w:tc>
          <w:tcPr>
            <w:tcW w:type="dxa" w:w="4153"/>
          </w:tcPr>
          <w:p>
            <w:r>
              <w:rPr/>
              <w:t>验收要求</w:t>
            </w:r>
          </w:p>
        </w:tc>
        <w:tc>
          <w:tcPr>
            <w:tcW w:type="dxa" w:w="4153"/>
          </w:tcPr>
          <w:p/>
          <w:p/>
          <w:p/>
          <w:p>
            <w:r>
              <w:rPr/>
              <w:t>1期：按本项目考核要求进行月度考核。项目完成后，采购人收到成交供应商验收申请后7日内按照合同约定对整体履约情况进行验收。</w:t>
            </w:r>
          </w:p>
        </w:tc>
      </w:tr>
      <w:tr>
        <w:tc>
          <w:tcPr>
            <w:tcW w:type="dxa" w:w="4153"/>
          </w:tcPr>
          <w:p>
            <w:r>
              <w:rPr/>
              <w:t>履约保证金</w:t>
            </w:r>
          </w:p>
        </w:tc>
        <w:tc>
          <w:tcPr>
            <w:tcW w:type="dxa" w:w="4153"/>
          </w:tcPr>
          <w:p/>
          <w:p/>
          <w:p/>
          <w:p/>
          <w:p>
            <w:r>
              <w:rPr/>
              <w:t>收取比例：5%,说明：1.成交供应商与采购人签订合同后10日内，成交供应商以银行转账、支票、汇票、本票、保函、保单等非现金形式向采购人提交合同金额的5%作为履约保证金额。成交供应商未能在规定的时间内提交履约保证金，采购人有权单方面终止合同。 2.履约保证金的期限：从提供履约保证金之日起至本项目服务期结束之日止。 3.履约保证金扣除情形：如有违规违约行为或其他导致采购人经济损失的行为，采购人在履约保证金扣除经济损失；履约保证金不足以弥补损失的，成交供应商须补足损失金额。履约期间发生履约保证金扣除导致不足合同金额的5%，成交供应商应及时补足。 4.履约保证金不予退还情形：本项目服务过程中造成重大安全事故或未履行投标承诺或违反合同规定等情况，采购人有权不予退还履约保证金并解除合同。  5.在履约验收完毕后5个工作日内，采购人无息退还履约保证金（如采用保函、保单形式提交履约保证金的，履约验收完毕后保函、保单相应失效）。 6.因采购人原因逾期退还履约保证金的违约责任：每逾期一天，采购人支付履约保证金的千分之五作违约金，以此类推至违约金达到履约保证金的百分之五。</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1，★磋商总报价:磋商总报价中不得包含竞争性磋商文件要求以外的内容，否则，在评标时不予核减。若投标报价有缺漏项的，缺漏项部分的价格视为已包含在投标报价中，成交后不作任何调整 。</w:t>
            </w:r>
          </w:p>
          <w:p/>
          <w:p>
            <w:r>
              <w:rPr/>
              <w:t>2，★供应商须对本项目为单位的服务内容进行整体响应，任何只对其中一部分服务内容进行的响应都被视为无效响应。</w:t>
            </w:r>
          </w:p>
          <w:p/>
          <w:p>
            <w:r>
              <w:rPr/>
              <w:t>3，本项目不允许转包、分包。</w:t>
            </w:r>
          </w:p>
          <w:p/>
          <w:p>
            <w:r>
              <w:rPr/>
              <w:t>4，竞争性磋商文件内所有涉及的规定、规范、标准，如有最新，以最新为准。</w:t>
            </w:r>
          </w:p>
        </w:tc>
      </w:tr>
    </w:tbl>
    <w:p/>
    <w:p>
      <w:r>
        <w:rPr/>
        <w:t>其他商务需求</w:t>
      </w:r>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本项目为总价包干，响应供应商的报价不得超过本项目总的采购预算，报价包括但不限于：人员成本费用、管理费、培训费、主次干道文明劝导费用、核心商圈和重点村居片区文明劝导费用、村级属地文明劝导费用、装备配置费用、税费、合理利润、风险费用、可预见与不可预见费等完成本项目所需的一切费用。所有价格均应为人民币，金额单位为元。</w:t>
            </w:r>
          </w:p>
        </w:tc>
      </w:tr>
      <w:tr>
        <w:tc>
          <w:tcPr>
            <w:tcW w:type="dxa" w:w="2076"/>
          </w:tcPr>
          <w:p>
            <w:pPr>
              <w:jc w:val="center"/>
            </w:pPr>
          </w:p>
        </w:tc>
        <w:tc>
          <w:tcPr>
            <w:tcW w:type="dxa" w:w="2076"/>
          </w:tcPr>
          <w:p>
            <w:pPr>
              <w:jc w:val="center"/>
            </w:pPr>
            <w:r>
              <w:rPr/>
              <w:t>2</w:t>
            </w:r>
          </w:p>
        </w:tc>
        <w:tc>
          <w:tcPr>
            <w:tcW w:type="dxa" w:w="2076"/>
          </w:tcPr>
          <w:p>
            <w:pPr>
              <w:jc w:val="left"/>
            </w:pPr>
            <w:r>
              <w:rPr/>
              <w:t>费用说明</w:t>
            </w:r>
          </w:p>
        </w:tc>
        <w:tc>
          <w:tcPr>
            <w:tcW w:type="dxa" w:w="2076"/>
          </w:tcPr>
          <w:p>
            <w:pPr>
              <w:jc w:val="left"/>
            </w:pPr>
            <w:r>
              <w:rPr/>
              <w:t>1.人员成本费用：人员工资、社会保险、人身意外险、福利费、办公费、各类补贴费用等； 2.装备配置费用：人员办公设备车辆停放相关物资存放场地、制式服装、肩灯、马甲反光衣、现场记录仪、汽车、电动自行车和信息系统接入开发模块等以及上述设置在服务期内的损耗；  3.培训费：一切专业培训； 4.管理费：一切业务费用； 5.合理利润、风险费用、税费（全额含税发票）及合同实施过程中可预见和不可预见费用等。</w:t>
            </w:r>
          </w:p>
        </w:tc>
      </w:tr>
      <w:tr>
        <w:tc>
          <w:tcPr>
            <w:tcW w:type="dxa" w:w="2076"/>
          </w:tcPr>
          <w:p>
            <w:pPr>
              <w:jc w:val="center"/>
            </w:pPr>
            <w:r>
              <w:rPr/>
              <w:t>★</w:t>
            </w:r>
          </w:p>
        </w:tc>
        <w:tc>
          <w:tcPr>
            <w:tcW w:type="dxa" w:w="2076"/>
          </w:tcPr>
          <w:p>
            <w:pPr>
              <w:jc w:val="center"/>
            </w:pPr>
            <w:r>
              <w:rPr/>
              <w:t>3</w:t>
            </w:r>
          </w:p>
        </w:tc>
        <w:tc>
          <w:tcPr>
            <w:tcW w:type="dxa" w:w="2076"/>
          </w:tcPr>
          <w:p>
            <w:pPr>
              <w:jc w:val="left"/>
            </w:pPr>
            <w:r>
              <w:rPr/>
              <w:t>本项目费用构成比例</w:t>
            </w:r>
          </w:p>
        </w:tc>
        <w:tc>
          <w:tcPr>
            <w:tcW w:type="dxa" w:w="2076"/>
          </w:tcPr>
          <w:p>
            <w:pPr>
              <w:jc w:val="left"/>
            </w:pPr>
            <w:r>
              <w:rPr/>
              <w:t>本项目费用构成比例如下： 项目负责人（1人）占本项目费用构成的5.62%；项目组长（2人）占本项目费用构成的9.57%；服务人员（17人）占本项目费用构成的70.79%；装备配置占本项目费用构成的14.02%。成交供应商应综合合理考虑上述费用比例进行合理报价，若成交供应商未按项目要求提供服务则按费用构成比例扣除对应服务费。</w:t>
            </w:r>
          </w:p>
        </w:tc>
      </w:tr>
      <w:tr>
        <w:tc>
          <w:tcPr>
            <w:tcW w:type="dxa" w:w="2076"/>
          </w:tcPr>
          <w:p>
            <w:pPr>
              <w:jc w:val="center"/>
            </w:pPr>
          </w:p>
        </w:tc>
        <w:tc>
          <w:tcPr>
            <w:tcW w:type="dxa" w:w="2076"/>
          </w:tcPr>
          <w:p>
            <w:pPr>
              <w:jc w:val="center"/>
            </w:pPr>
            <w:r>
              <w:rPr/>
              <w:t>4</w:t>
            </w:r>
          </w:p>
        </w:tc>
        <w:tc>
          <w:tcPr>
            <w:tcW w:type="dxa" w:w="2076"/>
          </w:tcPr>
          <w:p>
            <w:pPr>
              <w:jc w:val="left"/>
            </w:pPr>
            <w:r>
              <w:rPr/>
              <w:t>其他</w:t>
            </w:r>
          </w:p>
        </w:tc>
        <w:tc>
          <w:tcPr>
            <w:tcW w:type="dxa" w:w="2076"/>
          </w:tcPr>
          <w:p>
            <w:pPr>
              <w:jc w:val="left"/>
            </w:pPr>
            <w:r>
              <w:rPr/>
              <w:t>1.在合同履行期间，对因物价变动、政策性工资调整或任何其他因素而导致的人员及其他费用的变化，均不予调整，即供应商不得以任何理由要求增加费用。  2.供应商必须自行考虑本项目在实施期间的一切可能发生的费用。在合同执行过程中，采购人将不再另行支付与本项目相关的任何费用（非本项目要求的其他内容除外）。</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南庄镇市容环境管理文明劝导外包服务（2023年）采购项目</w:t>
            </w:r>
          </w:p>
        </w:tc>
        <w:tc>
          <w:tcPr>
            <w:tcW w:type="dxa" w:w="933"/>
          </w:tcPr>
          <w:p>
            <w:pPr>
              <w:jc w:val="left"/>
            </w:pPr>
            <w:r>
              <w:rPr/>
              <w:t>项</w:t>
            </w:r>
          </w:p>
        </w:tc>
        <w:tc>
          <w:tcPr>
            <w:tcW w:type="dxa" w:w="933"/>
          </w:tcPr>
          <w:p>
            <w:pPr>
              <w:jc w:val="right"/>
            </w:pPr>
            <w:r>
              <w:rPr/>
              <w:t>1.00</w:t>
            </w:r>
          </w:p>
        </w:tc>
        <w:tc>
          <w:tcPr>
            <w:tcW w:type="dxa" w:w="933"/>
          </w:tcPr>
          <w:p>
            <w:pPr>
              <w:jc w:val="right"/>
            </w:pPr>
            <w:r>
              <w:rPr/>
              <w:t>1,577,427.25</w:t>
            </w:r>
          </w:p>
        </w:tc>
        <w:tc>
          <w:tcPr>
            <w:tcW w:type="dxa" w:w="933"/>
          </w:tcPr>
          <w:p>
            <w:pPr>
              <w:jc w:val="right"/>
            </w:pPr>
            <w:r>
              <w:rPr/>
              <w:t>1,577,427.25</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南庄镇市容环境管理文明劝导外包服务（2023年）采购项目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color w:val="000000"/>
                <w:sz w:val="21"/>
              </w:rPr>
              <w:t>一、</w:t>
            </w:r>
            <w:r>
              <w:rPr>
                <w:b/>
                <w:color w:val="000000"/>
                <w:sz w:val="21"/>
              </w:rPr>
              <w:t>服务内容</w:t>
            </w:r>
          </w:p>
          <w:p>
            <w:r>
              <w:rPr>
                <w:sz w:val="21"/>
              </w:rPr>
              <w:t>▲</w:t>
            </w:r>
            <w:r>
              <w:rPr>
                <w:sz w:val="21"/>
              </w:rPr>
              <w:t>（一）主要服务内容</w:t>
            </w:r>
          </w:p>
          <w:p>
            <w:r>
              <w:rPr>
                <w:sz w:val="21"/>
              </w:rPr>
              <w:t>1.负责辖区内人行道以上共享自行车、共享电动自行车停放的规范工作。要求人行道上的共享自行车、共享电动自行车停放有序，对共享自行车、共享电动自行车使用人在现场的，要劝阻使用人按规定有序停放；对共享自行车、共享电动自行车使用人不在现场的，要主动将车辆按规定摆放整齐。严禁在人行道上停放各类机动车，对机动车驾驶人在现场的，劝导其立即驶离，对机动车驾驶人不在现场的，要及时与交警中队衔接，由交警按程序进行处理。</w:t>
            </w:r>
          </w:p>
          <w:p>
            <w:r>
              <w:rPr>
                <w:sz w:val="21"/>
              </w:rPr>
              <w:t>2.负责辖区内占路经营或占路堆放物料不文明行为的劝导工作。发现沿街门店有室外经营、占路堆放沙土建筑材料、杂物和摆放灯箱、广告牌匾以及流动摊贩（摊点）占路经营等行为时，要及时进行劝阻和制止，并做好教育与宣传工作。对拒不服从管理的，通知执法人员跟进。</w:t>
            </w:r>
          </w:p>
          <w:p>
            <w:r>
              <w:rPr>
                <w:sz w:val="21"/>
              </w:rPr>
              <w:t>3.负责对辖区内乱贴乱画的清理工作。发现有在沿街建筑物、线杆以及树木上乱贴乱画的行为时，要及时予以制止，并要求违法行为人自行清理干净。发现有乱贴乱画现象，便于清除的，要及时自行清理。</w:t>
            </w:r>
          </w:p>
          <w:p>
            <w:r>
              <w:rPr>
                <w:sz w:val="21"/>
              </w:rPr>
              <w:t>4.负责辖区内乱挂乱晒不文明行为的劝导工作。发现沿街有乱挂条幅、乱晒衣服、毛巾、被褥、清洁用品等物品时要及时进行劝阻。要求其立即将物品清理，对拒不服从管理的，通知执法人员跟进。</w:t>
            </w:r>
          </w:p>
          <w:p>
            <w:r>
              <w:rPr>
                <w:sz w:val="21"/>
              </w:rPr>
              <w:t>5.负责辖区内污染、损坏路面不文明行为的劝导工作。发现因修、洗车、各类维修和加工喷漆等行为造成路面污染，以及私自挖掘城市道路、在城市道路、人行道、绿化带等区域私拉管线造成表面损坏的行为时，要及时进行劝导并进行制止。对拒不服从管理的，通知执法人员跟进。</w:t>
            </w:r>
          </w:p>
          <w:p>
            <w:r>
              <w:rPr>
                <w:sz w:val="21"/>
              </w:rPr>
              <w:t>6.负责辖区内乱丢倒垃圾不文明行为的劝导工作。发现有不按规定时间、地点倾倒垃圾、污物的行为时，要进行劝阻和制止。对于正在乱倒的要及时制止，并要求违法行为人立即清除，已经乱倒而违法行为人又不在现场的，通知相关单位及时清理。</w:t>
            </w:r>
          </w:p>
          <w:p>
            <w:r>
              <w:rPr>
                <w:sz w:val="21"/>
              </w:rPr>
              <w:t>7.负责辖区内破坏城市绿化不文明行为的劝导工作。发现有破坏绿地、损毁树木的行为时，要及时劝阻和制止。力所能及的，自行修复。</w:t>
            </w:r>
          </w:p>
          <w:p>
            <w:r>
              <w:rPr>
                <w:sz w:val="21"/>
              </w:rPr>
              <w:t>8.</w:t>
            </w:r>
            <w:r>
              <w:rPr>
                <w:sz w:val="21"/>
              </w:rPr>
              <w:t>完成涉及市容环境管理文明劝导的其他工作。含</w:t>
            </w:r>
            <w:r>
              <w:rPr>
                <w:sz w:val="21"/>
              </w:rPr>
              <w:t>路面市容数据采集等。</w:t>
            </w:r>
          </w:p>
          <w:p>
            <w:r>
              <w:rPr>
                <w:sz w:val="21"/>
              </w:rPr>
              <w:t>▲</w:t>
            </w:r>
            <w:r>
              <w:rPr>
                <w:sz w:val="21"/>
              </w:rPr>
              <w:t>（二）服务标准</w:t>
            </w:r>
          </w:p>
          <w:p>
            <w:r>
              <w:rPr>
                <w:sz w:val="21"/>
              </w:rPr>
              <w:t>1.发现有上述违法违章行为在进行劝阻、制止时，要耐心细致，并注意语言文明。在管理过程中，做到文明管理、秉公办事、廉洁自律、遵章守纪，自觉维护劝导队伍的良好形象；</w:t>
            </w:r>
          </w:p>
          <w:p>
            <w:r>
              <w:rPr>
                <w:sz w:val="21"/>
              </w:rPr>
              <w:t>2.遵从采购人以及上级的安排，根据服务内容开展工作；</w:t>
            </w:r>
          </w:p>
          <w:p>
            <w:r>
              <w:rPr>
                <w:sz w:val="21"/>
              </w:rPr>
              <w:t>3.对力所能及的问题要自行处理（包括但不限于：街道散落些许垃圾、落叶等，牛皮癣等容易处理的小广告）；</w:t>
            </w:r>
          </w:p>
          <w:p>
            <w:r>
              <w:rPr>
                <w:sz w:val="21"/>
              </w:rPr>
              <w:t>4.城市管理黑点、难点区域，安排专人进行劝导；</w:t>
            </w:r>
          </w:p>
          <w:p>
            <w:r>
              <w:rPr>
                <w:sz w:val="21"/>
              </w:rPr>
              <w:t>5.乐于助人、拾金不昧，树立城市管理新风尚。</w:t>
            </w:r>
          </w:p>
          <w:p>
            <w:r>
              <w:rPr>
                <w:b/>
                <w:color w:val="000000"/>
                <w:sz w:val="21"/>
              </w:rPr>
              <w:t>二</w:t>
            </w:r>
            <w:r>
              <w:rPr>
                <w:b/>
                <w:color w:val="000000"/>
                <w:sz w:val="21"/>
              </w:rPr>
              <w:t>、</w:t>
            </w:r>
            <w:r>
              <w:rPr>
                <w:b/>
                <w:color w:val="000000"/>
                <w:sz w:val="21"/>
              </w:rPr>
              <w:t>供应商服务团队的总体要求</w:t>
            </w:r>
          </w:p>
          <w:p>
            <w:r>
              <w:rPr>
                <w:sz w:val="21"/>
              </w:rPr>
              <w:t>（一）基本要求</w:t>
            </w:r>
          </w:p>
          <w:p>
            <w:r>
              <w:rPr>
                <w:sz w:val="21"/>
              </w:rPr>
              <w:t>1.成交供应商需配备20人的服务团队（包含项目负责人、项目组长）并在采购人的总体指导下开展工作，严格遵守各项工作规范，并无条件接受日常监督和检查；</w:t>
            </w:r>
          </w:p>
          <w:p>
            <w:r>
              <w:rPr>
                <w:sz w:val="21"/>
              </w:rPr>
              <w:t>2.服务团队必须具有科学合理的组织机构体系，实行层级管理，保证管理、指挥、质量控制要求在组织架构上实现；</w:t>
            </w:r>
          </w:p>
          <w:p>
            <w:r>
              <w:rPr>
                <w:sz w:val="21"/>
              </w:rPr>
              <w:t>3.服务团队必须制定可进可出的内部管理清退制度，实行奖优惩劣措施，保证服务人员的素质；</w:t>
            </w:r>
          </w:p>
          <w:p>
            <w:r>
              <w:rPr>
                <w:sz w:val="21"/>
              </w:rPr>
              <w:t>4.服务团队必须建立严格的内部质量控制体系，落实专人负责对服务人员的工作质量实行实时监控；对投诉、工作失误等问题实行跟踪、反馈，建立质量问题处罚机制；</w:t>
            </w:r>
          </w:p>
          <w:p>
            <w:r>
              <w:rPr>
                <w:sz w:val="21"/>
              </w:rPr>
              <w:t>5.服务团队必须制定合理的服务人员配置方案，保障人员的合理调度，根据工作时间的要求，制定合理安排交接班制度，保障人员的合理组织；</w:t>
            </w:r>
          </w:p>
          <w:p>
            <w:r>
              <w:rPr>
                <w:sz w:val="21"/>
              </w:rPr>
              <w:t>6.服务团队必须建立完善的培训制度，培训包括上岗培训、日常技能培训等，人员必须经培训合格后才上岗工作；</w:t>
            </w:r>
          </w:p>
          <w:p>
            <w:r>
              <w:rPr>
                <w:sz w:val="21"/>
              </w:rPr>
              <w:t>7.服务团队必须严格遵照法律、法规、规章和规定的要求，与服务人员队伍签订劳动合同，并按照相关劳动法律、法规的规定办理等，贯彻劳动法律、法规中有关工作时间和休息、休假、工资等规定；</w:t>
            </w:r>
          </w:p>
          <w:p>
            <w:r>
              <w:rPr>
                <w:sz w:val="21"/>
              </w:rPr>
              <w:t>8.服务人员必须持证上岗，身体健康，品行端正，无违法犯罪记录，无违法犯罪记录，无纹身，能说普通话，有较强的组织纪律性。城管系统内违纪违规被开除的人员，服务团队不得录用其进行相关工作；</w:t>
            </w:r>
          </w:p>
          <w:p>
            <w:r>
              <w:rPr>
                <w:sz w:val="21"/>
              </w:rPr>
              <w:t>9.服务人员必须统一着装、外貌整洁不穿奇装异服；</w:t>
            </w:r>
          </w:p>
          <w:p>
            <w:r>
              <w:rPr>
                <w:sz w:val="21"/>
              </w:rPr>
              <w:t>10.服务人员值勤时举止应大方得体、礼貌待人。</w:t>
            </w:r>
          </w:p>
          <w:p>
            <w:r>
              <w:rPr>
                <w:sz w:val="21"/>
              </w:rPr>
              <w:t>（二）在岗时间配置要求</w:t>
            </w:r>
          </w:p>
          <w:p>
            <w:r>
              <w:rPr>
                <w:sz w:val="21"/>
              </w:rPr>
              <w:t>1.项目负责人1人：要求24小时在佛山市禅城区南庄镇待命，随时与采购人保持沟通，接到采购人通知后需30分钟内到达指定位置；</w:t>
            </w:r>
          </w:p>
          <w:p>
            <w:r>
              <w:rPr>
                <w:sz w:val="21"/>
              </w:rPr>
              <w:t>2.项目组长(值班长)2人：24小时待命三班倒，随时与采购人保持沟通，接受采购人和项目负责人工作安排，接到采购人通知后需30分钟内到达指定位置；</w:t>
            </w:r>
          </w:p>
          <w:p>
            <w:r>
              <w:rPr>
                <w:sz w:val="21"/>
              </w:rPr>
              <w:t>3.服务人员17人：服务时间采用6天工作制（周一至周六）。如采购人提出需要开展专项行动，则由采购人另行安排上班时间，成交供应商需积极配合。</w:t>
            </w:r>
          </w:p>
          <w:p>
            <w:r>
              <w:rPr>
                <w:sz w:val="21"/>
              </w:rPr>
              <w:t>（三）岗位具体职责</w:t>
            </w:r>
          </w:p>
          <w:p>
            <w:r>
              <w:rPr>
                <w:b/>
                <w:sz w:val="21"/>
              </w:rPr>
              <w:t>1.项目负责人(1人)：</w:t>
            </w:r>
          </w:p>
          <w:p>
            <w:r>
              <w:rPr>
                <w:sz w:val="21"/>
              </w:rPr>
              <w:t>A.负责与采购人沟通协调，准确理解采购人服务人员工作要求并向服务团队宣贯执行；</w:t>
            </w:r>
          </w:p>
          <w:p>
            <w:r>
              <w:rPr>
                <w:sz w:val="21"/>
              </w:rPr>
              <w:t>B.负责服务团队的全面日常管理工作；</w:t>
            </w:r>
          </w:p>
          <w:p>
            <w:r>
              <w:rPr>
                <w:sz w:val="21"/>
              </w:rPr>
              <w:t>C.根据采购人开展的专项整治工作，安排服务团队配合执行，并提供合理化工作建议；</w:t>
            </w:r>
          </w:p>
          <w:p>
            <w:r>
              <w:rPr>
                <w:sz w:val="21"/>
              </w:rPr>
              <w:t>D.定期向采购人提交服务团队工作开展运营月报，分析运营工作中存在的问题，提出并落实整改意见，同时为采购人数字城管各项工作提供科学的决策依据；</w:t>
            </w:r>
          </w:p>
          <w:p>
            <w:r>
              <w:rPr>
                <w:sz w:val="21"/>
              </w:rPr>
              <w:t>E.负责南庄镇服务团队的人员培养，确保运营团队队伍稳定、业务技能提升；</w:t>
            </w:r>
          </w:p>
          <w:p>
            <w:r>
              <w:rPr>
                <w:sz w:val="21"/>
              </w:rPr>
              <w:t>F.负责南庄镇服务团队绩效考核，奖励先进、鞭策落后、淘汰不合格人员。研究其他地区服务的先进经验，为南庄镇文明城市管理工作高效运营提供合理化工作建议等。</w:t>
            </w:r>
          </w:p>
          <w:p>
            <w:r>
              <w:rPr>
                <w:sz w:val="21"/>
              </w:rPr>
              <w:t>G.人员要求：</w:t>
            </w:r>
          </w:p>
          <w:p>
            <w:r>
              <w:rPr>
                <w:sz w:val="21"/>
              </w:rPr>
              <w:t>1）大专或以上文化程度；</w:t>
            </w:r>
          </w:p>
          <w:p>
            <w:r>
              <w:rPr>
                <w:sz w:val="21"/>
              </w:rPr>
              <w:t>2）年龄50岁以下；</w:t>
            </w:r>
          </w:p>
          <w:p>
            <w:r>
              <w:rPr>
                <w:sz w:val="21"/>
              </w:rPr>
              <w:t>3）有5年以上工作经验；</w:t>
            </w:r>
          </w:p>
          <w:p>
            <w:r>
              <w:rPr>
                <w:sz w:val="21"/>
              </w:rPr>
              <w:t>4）具有相关行政管理经验和良好的协调沟通组织能力。</w:t>
            </w:r>
          </w:p>
          <w:p/>
          <w:p>
            <w:r>
              <w:rPr>
                <w:b/>
                <w:sz w:val="21"/>
              </w:rPr>
              <w:t>2.项目组长（服务人员的直接负责人2人)：</w:t>
            </w:r>
          </w:p>
          <w:p>
            <w:r>
              <w:rPr>
                <w:sz w:val="21"/>
              </w:rPr>
              <w:t>A.负责所属区域内服务人员日常工作安排、进度把握；与服务人员一起开展对不文明行为的劝导工作、负责辖区夜间专项整治带队劝导工作；</w:t>
            </w:r>
          </w:p>
          <w:p>
            <w:r>
              <w:rPr>
                <w:sz w:val="21"/>
              </w:rPr>
              <w:t>B.对服务人员进行监督管理，了解服务人员考勤、工作轨迹、工作效果及案件上报情况等。通过明查、暗检方式查处服务人员不守工作纪律、私自离岗、迟到早退、弄虚作假等行为；</w:t>
            </w:r>
          </w:p>
          <w:p>
            <w:r>
              <w:rPr>
                <w:sz w:val="21"/>
              </w:rPr>
              <w:t>C.负责服务人员工作现场技术支持，落实服务人员工作纪律的监督管理工作；</w:t>
            </w:r>
          </w:p>
          <w:p>
            <w:r>
              <w:rPr>
                <w:sz w:val="21"/>
              </w:rPr>
              <w:t>D.负责发现和反馈服务人员工作中的问题，落实路面服务人员工作业务水平优化和改正工作的开展；</w:t>
            </w:r>
          </w:p>
          <w:p>
            <w:r>
              <w:rPr>
                <w:sz w:val="21"/>
              </w:rPr>
              <w:t>E.收集整理责任区域内劝导工作所遇到的主要问题，为南庄镇城市管理的有效运营提供参考依据及合理化建议；</w:t>
            </w:r>
          </w:p>
          <w:p>
            <w:r>
              <w:rPr>
                <w:sz w:val="21"/>
              </w:rPr>
              <w:t>F.遵守采购人原有及将要制定的各项规章制度。</w:t>
            </w:r>
          </w:p>
          <w:p>
            <w:r>
              <w:rPr>
                <w:sz w:val="21"/>
              </w:rPr>
              <w:t>G.人员要求：</w:t>
            </w:r>
          </w:p>
          <w:p>
            <w:r>
              <w:rPr>
                <w:sz w:val="21"/>
              </w:rPr>
              <w:t>1）高中或以上文化程度；</w:t>
            </w:r>
          </w:p>
          <w:p>
            <w:r>
              <w:rPr>
                <w:sz w:val="21"/>
              </w:rPr>
              <w:t>2）年龄50岁以下；</w:t>
            </w:r>
          </w:p>
          <w:p>
            <w:r>
              <w:rPr>
                <w:sz w:val="21"/>
              </w:rPr>
              <w:t>3）有一年以上团队管理工作经验；熟悉计算机、手机操作软件；</w:t>
            </w:r>
          </w:p>
          <w:p>
            <w:r>
              <w:rPr>
                <w:sz w:val="21"/>
              </w:rPr>
              <w:t>4）无明显身体缺陷。</w:t>
            </w:r>
          </w:p>
          <w:p/>
          <w:p>
            <w:r>
              <w:rPr>
                <w:b/>
                <w:sz w:val="21"/>
              </w:rPr>
              <w:t>3.服务人员(17人)：</w:t>
            </w:r>
          </w:p>
          <w:p>
            <w:r>
              <w:rPr>
                <w:sz w:val="21"/>
              </w:rPr>
              <w:t>A.严格按照规定的工作时间在所属的区域网格范围内开展文明劝导服务工作，自行纠正处理各类轻微问题；</w:t>
            </w:r>
          </w:p>
          <w:p>
            <w:r>
              <w:rPr>
                <w:sz w:val="21"/>
              </w:rPr>
              <w:t>B.对自身无法处理的问题，及时通知采购人跟进处理；</w:t>
            </w:r>
          </w:p>
          <w:p>
            <w:r>
              <w:rPr>
                <w:sz w:val="21"/>
              </w:rPr>
              <w:t>C.协助采购人、佛山市禅城区南庄镇各村居做好管理区域内“市容环境卫生责任区”责任制的落实。</w:t>
            </w:r>
          </w:p>
          <w:p>
            <w:r>
              <w:rPr>
                <w:sz w:val="21"/>
              </w:rPr>
              <w:t>D.协同采购人人员参加整治，劝导不文明行为。</w:t>
            </w:r>
          </w:p>
          <w:p>
            <w:r>
              <w:rPr>
                <w:sz w:val="21"/>
              </w:rPr>
              <w:t>E.遵守采购人原有及将要制定的各项规章制度。</w:t>
            </w:r>
          </w:p>
          <w:p>
            <w:r>
              <w:rPr>
                <w:sz w:val="21"/>
              </w:rPr>
              <w:t>F.服务人员要求：</w:t>
            </w:r>
          </w:p>
          <w:p>
            <w:r>
              <w:rPr>
                <w:sz w:val="21"/>
              </w:rPr>
              <w:t>1）中专或以上文化程度；</w:t>
            </w:r>
          </w:p>
          <w:p>
            <w:r>
              <w:rPr>
                <w:sz w:val="21"/>
              </w:rPr>
              <w:t>2）年龄50岁以下；</w:t>
            </w:r>
          </w:p>
          <w:p>
            <w:r>
              <w:rPr>
                <w:sz w:val="21"/>
              </w:rPr>
              <w:t>3）熟悉计算机、手机操作软件；</w:t>
            </w:r>
          </w:p>
          <w:p>
            <w:r>
              <w:rPr>
                <w:sz w:val="21"/>
              </w:rPr>
              <w:t>4）无明显身体缺陷。</w:t>
            </w:r>
          </w:p>
          <w:p/>
          <w:p>
            <w:r>
              <w:rPr>
                <w:sz w:val="21"/>
              </w:rPr>
              <w:t>（四）工作纪律</w:t>
            </w:r>
          </w:p>
          <w:p>
            <w:r>
              <w:rPr>
                <w:sz w:val="21"/>
              </w:rPr>
              <w:t>1.认真遵守作息时间。(作息时间随季节的变化改变，具体时间由采购人通知)；</w:t>
            </w:r>
          </w:p>
          <w:p>
            <w:r>
              <w:rPr>
                <w:sz w:val="21"/>
              </w:rPr>
              <w:t>2.工作时间内不准做与工作无关的事；</w:t>
            </w:r>
          </w:p>
          <w:p>
            <w:r>
              <w:rPr>
                <w:sz w:val="21"/>
              </w:rPr>
              <w:t>3.服务人员要认真履行职责，严格遵守作息时间，不准迟到、早退，遇有特殊情况及时与值班长反映。不准擅离岗位、脱岗、串岗；</w:t>
            </w:r>
          </w:p>
          <w:p>
            <w:r>
              <w:rPr>
                <w:sz w:val="21"/>
              </w:rPr>
              <w:t>4.规范着装，上班制服应干净、整齐。纽扣带要全部扣好，不得敞开外衣，卷起裤脚、衣袖，领带必须结好；不得披衣、敞怀、挽袖、卷起裤脚、歪戴帽、穿拖鞋或赤脚。员工“工号卡”写明单位、职务、编号等，端正佩带在胸前。服务人员要穿好印有“文明劝导”标识马甲和帽子。</w:t>
            </w:r>
          </w:p>
          <w:p>
            <w:r>
              <w:rPr>
                <w:sz w:val="21"/>
              </w:rPr>
              <w:t>5.上岗时举止文明、大方。头发要整洁，男的不留长发、大包头，蓄发不得露于帽檐外，帽檐下发不得超过1厘米；不得留长发鬓角，鬓发长不超过耳屏。</w:t>
            </w:r>
          </w:p>
          <w:p>
            <w:r>
              <w:rPr>
                <w:sz w:val="21"/>
              </w:rPr>
              <w:t>6.精神振作，姿态良好，抬头挺胸，不得弯腰驼背，不得东歪西倒、前倾后靠，不得伸懒腰，不袖手、背手、叉腰或将手插入衣袋，不准在值班时吸烟、打瞌睡、吃零食。</w:t>
            </w:r>
          </w:p>
          <w:p>
            <w:r>
              <w:rPr>
                <w:sz w:val="21"/>
              </w:rPr>
              <w:t>7.不得哼歌曲、吹口哨、跺脚，不得随地吐痰、乱丢杂物。</w:t>
            </w:r>
          </w:p>
          <w:p>
            <w:r>
              <w:rPr>
                <w:sz w:val="21"/>
              </w:rPr>
              <w:t>8.不准酒后值勤和在上班时饮酒；</w:t>
            </w:r>
          </w:p>
          <w:p>
            <w:r>
              <w:rPr>
                <w:sz w:val="21"/>
              </w:rPr>
              <w:t>9.不准向业主、司机，摊主及其他客户借钱或索讨财物；</w:t>
            </w:r>
          </w:p>
          <w:p>
            <w:r>
              <w:rPr>
                <w:sz w:val="21"/>
              </w:rPr>
              <w:t>10.不准打人、骂人、不准知情不报。不准在岗位上与他人发生争吵或打架。</w:t>
            </w:r>
          </w:p>
          <w:p>
            <w:r>
              <w:rPr>
                <w:b/>
                <w:color w:val="000000"/>
                <w:sz w:val="21"/>
              </w:rPr>
              <w:t>三、具体实施要求</w:t>
            </w:r>
          </w:p>
          <w:p>
            <w:r>
              <w:rPr>
                <w:sz w:val="21"/>
              </w:rPr>
              <w:t>（一）主次干道文明劝导（</w:t>
            </w:r>
            <w:r>
              <w:rPr>
                <w:sz w:val="21"/>
              </w:rPr>
              <w:t>8公里/人，共约75公里。）</w:t>
            </w:r>
          </w:p>
          <w:p>
            <w:pPr>
              <w:ind w:firstLine="420"/>
            </w:pPr>
            <w:r>
              <w:rPr>
                <w:sz w:val="21"/>
              </w:rPr>
              <w:t>主要工作内容为对佛山市禅城区南庄镇主次干道两旁沿线商户、市民进行文明劝导：</w:t>
            </w:r>
          </w:p>
          <w:p>
            <w:r>
              <w:rPr>
                <w:sz w:val="21"/>
              </w:rPr>
              <w:t>1.主干道：南庄大道、季华西路、魁奇路西延线、樵乐路和紫洞路约30公里。</w:t>
            </w:r>
          </w:p>
          <w:p>
            <w:r>
              <w:rPr>
                <w:sz w:val="21"/>
              </w:rPr>
              <w:t>2.次干道：龙津东西路、梧村大道、富兴路、村尾路、杏吉路、陶兴路、二马路、河堤路、陶博大道、一环辅道等乡道约45公里。</w:t>
            </w:r>
          </w:p>
          <w:p>
            <w:r>
              <w:rPr>
                <w:sz w:val="21"/>
              </w:rPr>
              <w:t>（二）核心商圈和重点村居片区文明劝导（</w:t>
            </w:r>
            <w:r>
              <w:rPr>
                <w:sz w:val="21"/>
              </w:rPr>
              <w:t>6平方公里/人，共约24.36平方公里）</w:t>
            </w:r>
          </w:p>
          <w:p>
            <w:r>
              <w:rPr>
                <w:sz w:val="21"/>
              </w:rPr>
              <w:t>主要工作内容为在区域内街道两侧和公共场地进行劝导：</w:t>
            </w:r>
          </w:p>
          <w:p>
            <w:r>
              <w:rPr>
                <w:sz w:val="21"/>
              </w:rPr>
              <w:t>1.绿岛湖商圈片区，面积约4.32平方公里；</w:t>
            </w:r>
          </w:p>
          <w:p>
            <w:r>
              <w:rPr>
                <w:sz w:val="21"/>
              </w:rPr>
              <w:t>2.吉利商圈与吉利村片区、华夏陶博城片区，面积约8.13平方公里；</w:t>
            </w:r>
          </w:p>
          <w:p>
            <w:r>
              <w:rPr>
                <w:sz w:val="21"/>
              </w:rPr>
              <w:t>3.解放路商圈、南庄村和罗南村核心片区，面积约10.06平方公里；</w:t>
            </w:r>
          </w:p>
          <w:p>
            <w:r>
              <w:rPr>
                <w:sz w:val="21"/>
              </w:rPr>
              <w:t>4.紫南村核心片区，面积约1.85平方公里。</w:t>
            </w:r>
          </w:p>
          <w:p>
            <w:r>
              <w:rPr>
                <w:sz w:val="21"/>
              </w:rPr>
              <w:t>（三）村级属地文明劝导（</w:t>
            </w:r>
            <w:r>
              <w:rPr>
                <w:sz w:val="21"/>
              </w:rPr>
              <w:t>2个村委会属地/人，南庄镇除罗南、吉利、南庄、紫南外的14个村委会属地。），主要工作内容为在村级属地市容管理重点区域进行劝导。</w:t>
            </w:r>
          </w:p>
          <w:p>
            <w:r>
              <w:rPr>
                <w:sz w:val="21"/>
              </w:rPr>
              <w:t>（四）装备、场地配置要求</w:t>
            </w:r>
          </w:p>
          <w:tbl>
            <w:tblPr>
              <w:tblBorders>
                <w:top w:val="none" w:color="000000" w:sz="4"/>
                <w:left w:val="none" w:color="000000" w:sz="4"/>
                <w:bottom w:val="none" w:color="000000" w:sz="4"/>
                <w:right w:val="none" w:color="000000" w:sz="4"/>
                <w:insideH w:val="none"/>
                <w:insideV w:val="none"/>
              </w:tblBorders>
            </w:tblPr>
            <w:tblGrid>
              <w:gridCol w:w="664"/>
              <w:gridCol w:w="1886"/>
              <w:gridCol w:w="3048"/>
            </w:tblGrid>
            <w:tr>
              <w:tc>
                <w:tcPr>
                  <w:tcW w:type="dxa" w:w="664"/>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886"/>
                  <w:tcBorders>
                    <w:top w:val="single" w:color="000000" w:sz="4"/>
                    <w:left w:val="single" w:color="000000" w:sz="4"/>
                    <w:bottom w:val="single" w:color="000000" w:sz="4"/>
                    <w:right w:val="single" w:color="000000" w:sz="4"/>
                  </w:tcBorders>
                  <w:vAlign w:val="top"/>
                </w:tcPr>
                <w:p>
                  <w:pPr>
                    <w:jc w:val="center"/>
                  </w:pPr>
                  <w:r>
                    <w:rPr>
                      <w:b/>
                      <w:sz w:val="21"/>
                    </w:rPr>
                    <w:t>名称</w:t>
                  </w:r>
                </w:p>
              </w:tc>
              <w:tc>
                <w:tcPr>
                  <w:tcW w:type="dxa" w:w="3048"/>
                  <w:tcBorders>
                    <w:top w:val="single" w:color="000000" w:sz="4"/>
                    <w:left w:val="single" w:color="000000" w:sz="4"/>
                    <w:bottom w:val="single" w:color="000000" w:sz="4"/>
                    <w:right w:val="single" w:color="000000" w:sz="4"/>
                  </w:tcBorders>
                  <w:vAlign w:val="top"/>
                </w:tcPr>
                <w:p>
                  <w:pPr>
                    <w:jc w:val="center"/>
                  </w:pPr>
                  <w:r>
                    <w:rPr>
                      <w:b/>
                      <w:sz w:val="21"/>
                    </w:rPr>
                    <w:t>配置标准</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86"/>
                  <w:tcBorders>
                    <w:top w:val="none" w:color="000000" w:sz="4"/>
                    <w:left w:val="single" w:color="000000" w:sz="4"/>
                    <w:bottom w:val="single" w:color="000000" w:sz="4"/>
                    <w:right w:val="single" w:color="000000" w:sz="4"/>
                  </w:tcBorders>
                  <w:vAlign w:val="top"/>
                </w:tcPr>
                <w:p>
                  <w:pPr>
                    <w:jc w:val="center"/>
                  </w:pPr>
                  <w:r>
                    <w:rPr>
                      <w:sz w:val="21"/>
                    </w:rPr>
                    <w:t>制式服装</w:t>
                  </w:r>
                </w:p>
              </w:tc>
              <w:tc>
                <w:tcPr>
                  <w:tcW w:type="dxa" w:w="3048"/>
                  <w:tcBorders>
                    <w:top w:val="none" w:color="000000" w:sz="4"/>
                    <w:left w:val="single" w:color="000000" w:sz="4"/>
                    <w:bottom w:val="single" w:color="000000" w:sz="4"/>
                    <w:right w:val="single" w:color="000000" w:sz="4"/>
                  </w:tcBorders>
                  <w:vAlign w:val="top"/>
                </w:tcPr>
                <w:p>
                  <w:pPr>
                    <w:jc w:val="center"/>
                  </w:pPr>
                  <w:r>
                    <w:rPr>
                      <w:sz w:val="21"/>
                    </w:rPr>
                    <w:t>统一服装</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86"/>
                  <w:tcBorders>
                    <w:top w:val="none" w:color="000000" w:sz="4"/>
                    <w:left w:val="single" w:color="000000" w:sz="4"/>
                    <w:bottom w:val="single" w:color="000000" w:sz="4"/>
                    <w:right w:val="single" w:color="000000" w:sz="4"/>
                  </w:tcBorders>
                  <w:vAlign w:val="top"/>
                </w:tcPr>
                <w:p>
                  <w:pPr>
                    <w:jc w:val="center"/>
                  </w:pPr>
                  <w:r>
                    <w:rPr>
                      <w:sz w:val="21"/>
                    </w:rPr>
                    <w:t>马甲反光衣</w:t>
                  </w:r>
                </w:p>
              </w:tc>
              <w:tc>
                <w:tcPr>
                  <w:tcW w:type="dxa" w:w="3048"/>
                  <w:tcBorders>
                    <w:top w:val="none" w:color="000000" w:sz="4"/>
                    <w:left w:val="single" w:color="000000" w:sz="4"/>
                    <w:bottom w:val="single" w:color="000000" w:sz="4"/>
                    <w:right w:val="single" w:color="000000" w:sz="4"/>
                  </w:tcBorders>
                  <w:vAlign w:val="top"/>
                </w:tcPr>
                <w:p>
                  <w:pPr>
                    <w:jc w:val="center"/>
                  </w:pPr>
                  <w:r>
                    <w:rPr>
                      <w:sz w:val="21"/>
                    </w:rPr>
                    <w:t>服务人员每人一件</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86"/>
                  <w:tcBorders>
                    <w:top w:val="none" w:color="000000" w:sz="4"/>
                    <w:left w:val="single" w:color="000000" w:sz="4"/>
                    <w:bottom w:val="single" w:color="000000" w:sz="4"/>
                    <w:right w:val="single" w:color="000000" w:sz="4"/>
                  </w:tcBorders>
                  <w:vAlign w:val="top"/>
                </w:tcPr>
                <w:p>
                  <w:pPr>
                    <w:jc w:val="center"/>
                  </w:pPr>
                  <w:r>
                    <w:rPr>
                      <w:sz w:val="21"/>
                    </w:rPr>
                    <w:t>现场记录仪</w:t>
                  </w:r>
                </w:p>
              </w:tc>
              <w:tc>
                <w:tcPr>
                  <w:tcW w:type="dxa" w:w="3048"/>
                  <w:tcBorders>
                    <w:top w:val="none" w:color="000000" w:sz="4"/>
                    <w:left w:val="single" w:color="000000" w:sz="4"/>
                    <w:bottom w:val="single" w:color="000000" w:sz="4"/>
                    <w:right w:val="single" w:color="000000" w:sz="4"/>
                  </w:tcBorders>
                  <w:vAlign w:val="top"/>
                </w:tcPr>
                <w:p>
                  <w:pPr>
                    <w:jc w:val="center"/>
                  </w:pPr>
                  <w:r>
                    <w:rPr>
                      <w:sz w:val="21"/>
                    </w:rPr>
                    <w:t>服务人员每</w:t>
                  </w:r>
                  <w:r>
                    <w:rPr>
                      <w:sz w:val="21"/>
                    </w:rPr>
                    <w:t>2人一台</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86"/>
                  <w:tcBorders>
                    <w:top w:val="none" w:color="000000" w:sz="4"/>
                    <w:left w:val="single" w:color="000000" w:sz="4"/>
                    <w:bottom w:val="single" w:color="000000" w:sz="4"/>
                    <w:right w:val="single" w:color="000000" w:sz="4"/>
                  </w:tcBorders>
                  <w:vAlign w:val="top"/>
                </w:tcPr>
                <w:p>
                  <w:pPr>
                    <w:jc w:val="center"/>
                  </w:pPr>
                  <w:r>
                    <w:rPr>
                      <w:sz w:val="21"/>
                    </w:rPr>
                    <w:t>对讲机</w:t>
                  </w:r>
                </w:p>
              </w:tc>
              <w:tc>
                <w:tcPr>
                  <w:tcW w:type="dxa" w:w="3048"/>
                  <w:tcBorders>
                    <w:top w:val="none" w:color="000000" w:sz="4"/>
                    <w:left w:val="single" w:color="000000" w:sz="4"/>
                    <w:bottom w:val="single" w:color="000000" w:sz="4"/>
                    <w:right w:val="single" w:color="000000" w:sz="4"/>
                  </w:tcBorders>
                  <w:vAlign w:val="top"/>
                </w:tcPr>
                <w:p>
                  <w:pPr>
                    <w:jc w:val="center"/>
                  </w:pPr>
                  <w:r>
                    <w:rPr>
                      <w:sz w:val="21"/>
                    </w:rPr>
                    <w:t>服务人员每</w:t>
                  </w:r>
                  <w:r>
                    <w:rPr>
                      <w:sz w:val="21"/>
                    </w:rPr>
                    <w:t>2人一台</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86"/>
                  <w:tcBorders>
                    <w:top w:val="none" w:color="000000" w:sz="4"/>
                    <w:left w:val="single" w:color="000000" w:sz="4"/>
                    <w:bottom w:val="single" w:color="000000" w:sz="4"/>
                    <w:right w:val="single" w:color="000000" w:sz="4"/>
                  </w:tcBorders>
                  <w:vAlign w:val="top"/>
                </w:tcPr>
                <w:p>
                  <w:pPr>
                    <w:jc w:val="center"/>
                  </w:pPr>
                  <w:r>
                    <w:rPr>
                      <w:sz w:val="21"/>
                    </w:rPr>
                    <w:t>汽车</w:t>
                  </w:r>
                </w:p>
              </w:tc>
              <w:tc>
                <w:tcPr>
                  <w:tcW w:type="dxa" w:w="3048"/>
                  <w:tcBorders>
                    <w:top w:val="none" w:color="000000" w:sz="4"/>
                    <w:left w:val="single" w:color="000000" w:sz="4"/>
                    <w:bottom w:val="single" w:color="000000" w:sz="4"/>
                    <w:right w:val="single" w:color="000000" w:sz="4"/>
                  </w:tcBorders>
                  <w:vAlign w:val="top"/>
                </w:tcPr>
                <w:p>
                  <w:pPr>
                    <w:jc w:val="center"/>
                  </w:pPr>
                  <w:r>
                    <w:rPr>
                      <w:sz w:val="21"/>
                    </w:rPr>
                    <w:t>3辆</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886"/>
                  <w:tcBorders>
                    <w:top w:val="none" w:color="000000" w:sz="4"/>
                    <w:left w:val="single" w:color="000000" w:sz="4"/>
                    <w:bottom w:val="single" w:color="000000" w:sz="4"/>
                    <w:right w:val="single" w:color="000000" w:sz="4"/>
                  </w:tcBorders>
                  <w:vAlign w:val="top"/>
                </w:tcPr>
                <w:p>
                  <w:pPr>
                    <w:jc w:val="center"/>
                  </w:pPr>
                  <w:r>
                    <w:rPr>
                      <w:sz w:val="21"/>
                    </w:rPr>
                    <w:t>电动自行车</w:t>
                  </w:r>
                </w:p>
              </w:tc>
              <w:tc>
                <w:tcPr>
                  <w:tcW w:type="dxa" w:w="3048"/>
                  <w:tcBorders>
                    <w:top w:val="none" w:color="000000" w:sz="4"/>
                    <w:left w:val="single" w:color="000000" w:sz="4"/>
                    <w:bottom w:val="single" w:color="000000" w:sz="4"/>
                    <w:right w:val="single" w:color="000000" w:sz="4"/>
                  </w:tcBorders>
                  <w:vAlign w:val="top"/>
                </w:tcPr>
                <w:p>
                  <w:pPr>
                    <w:jc w:val="center"/>
                  </w:pPr>
                  <w:r>
                    <w:rPr>
                      <w:sz w:val="21"/>
                    </w:rPr>
                    <w:t>7台</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886"/>
                  <w:tcBorders>
                    <w:top w:val="none" w:color="000000" w:sz="4"/>
                    <w:left w:val="single" w:color="000000" w:sz="4"/>
                    <w:bottom w:val="single" w:color="000000" w:sz="4"/>
                    <w:right w:val="single" w:color="000000" w:sz="4"/>
                  </w:tcBorders>
                  <w:vAlign w:val="top"/>
                </w:tcPr>
                <w:p>
                  <w:pPr>
                    <w:jc w:val="center"/>
                  </w:pPr>
                  <w:r>
                    <w:rPr>
                      <w:sz w:val="21"/>
                    </w:rPr>
                    <w:t>场地</w:t>
                  </w:r>
                </w:p>
              </w:tc>
              <w:tc>
                <w:tcPr>
                  <w:tcW w:type="dxa" w:w="3048"/>
                  <w:tcBorders>
                    <w:top w:val="none" w:color="000000" w:sz="4"/>
                    <w:left w:val="single" w:color="000000" w:sz="4"/>
                    <w:bottom w:val="single" w:color="000000" w:sz="4"/>
                    <w:right w:val="single" w:color="000000" w:sz="4"/>
                  </w:tcBorders>
                  <w:vAlign w:val="top"/>
                </w:tcPr>
                <w:p>
                  <w:pPr>
                    <w:jc w:val="center"/>
                  </w:pPr>
                  <w:r>
                    <w:rPr>
                      <w:sz w:val="21"/>
                    </w:rPr>
                    <w:t>配备不少于</w:t>
                  </w:r>
                  <w:r>
                    <w:rPr>
                      <w:sz w:val="21"/>
                    </w:rPr>
                    <w:t>200平方米场地用于人员办公、设备车辆停放、相关物资存放。</w:t>
                  </w:r>
                </w:p>
              </w:tc>
            </w:tr>
          </w:tbl>
          <w:p>
            <w:r>
              <w:rPr>
                <w:b/>
                <w:color w:val="000000"/>
                <w:sz w:val="21"/>
              </w:rPr>
              <w:t>四、</w:t>
            </w:r>
            <w:r>
              <w:rPr>
                <w:b/>
                <w:color w:val="000000"/>
                <w:sz w:val="21"/>
              </w:rPr>
              <w:t>服务团队的考核评定及服务费用计算方式</w:t>
            </w:r>
          </w:p>
          <w:p>
            <w:r>
              <w:rPr>
                <w:sz w:val="21"/>
              </w:rPr>
              <w:t>（一）考核评定方式</w:t>
            </w:r>
          </w:p>
          <w:p>
            <w:r>
              <w:rPr>
                <w:sz w:val="21"/>
              </w:rPr>
              <w:t>考核由服务配置考核、信息系统考核、路面效果考核和内务考核构成。</w:t>
            </w:r>
          </w:p>
          <w:p>
            <w:r>
              <w:rPr>
                <w:sz w:val="21"/>
              </w:rPr>
              <w:t>1.服务配置考核：采购人每月对成交供应商进行服务配置核查，若成交供应商没能按要求落实配置则按成交价格按实扣减相关人员、设备、场地费用。当月基础服务费=每月成交金额-扣减金额。（备注：采购人有权按实际需求调减服务项目规模并核减相应费用成交供应商须无条件接受。）</w:t>
            </w:r>
          </w:p>
          <w:p>
            <w:r>
              <w:rPr>
                <w:sz w:val="21"/>
              </w:rPr>
              <w:t>每月成交金额</w:t>
            </w:r>
            <w:r>
              <w:rPr>
                <w:sz w:val="21"/>
              </w:rPr>
              <w:t>=合同金额÷12</w:t>
            </w:r>
          </w:p>
          <w:p>
            <w:r>
              <w:rPr>
                <w:sz w:val="21"/>
              </w:rPr>
              <w:t>2.信息系统考核：服务单位需按采购人要求将项目基础台账（人员台账、车辆台账、管理台账、培训台账等）、日常服务台账（日常巡查劝导数据）、工单处理台账（派接单处理数据）等按时按质上传信息系统，每月根据信息系统统计的考核分数（百分制）评定。</w:t>
            </w:r>
          </w:p>
          <w:p>
            <w:r>
              <w:rPr>
                <w:sz w:val="21"/>
              </w:rPr>
              <w:t>3.路面效果考核：采购人按《路面考评月评分表》（详见合同附件一）、《项目路面效果月度考核汇总表》</w:t>
            </w:r>
            <w:r>
              <w:rPr>
                <w:sz w:val="21"/>
              </w:rPr>
              <w:t>（</w:t>
            </w:r>
            <w:r>
              <w:rPr>
                <w:sz w:val="21"/>
              </w:rPr>
              <w:t>详见合同附件二</w:t>
            </w:r>
            <w:r>
              <w:rPr>
                <w:sz w:val="21"/>
              </w:rPr>
              <w:t>）</w:t>
            </w:r>
            <w:r>
              <w:rPr>
                <w:sz w:val="21"/>
              </w:rPr>
              <w:t>内容每月不定期进行暗检（不少于一次）和明检（每月一次），其中暗检根据扣分情况进行罚金扣减，每扣</w:t>
            </w:r>
            <w:r>
              <w:rPr>
                <w:sz w:val="21"/>
              </w:rPr>
              <w:t>0.5分则直接扣减100元，每月暗检累计扣分分数乘以10%纳入明检扣减分数；</w:t>
            </w:r>
            <w:r>
              <w:rPr>
                <w:sz w:val="21"/>
              </w:rPr>
              <w:t>路面效果月度考核分数</w:t>
            </w:r>
            <w:r>
              <w:rPr>
                <w:sz w:val="21"/>
              </w:rPr>
              <w:t>=100分-（明检问题扣分+暗检累计扣分分数</w:t>
            </w:r>
            <w:r>
              <w:rPr>
                <w:sz w:val="21"/>
              </w:rPr>
              <w:t>×</w:t>
            </w:r>
            <w:r>
              <w:rPr>
                <w:sz w:val="21"/>
              </w:rPr>
              <w:t>10%）。</w:t>
            </w:r>
          </w:p>
          <w:p>
            <w:r>
              <w:rPr>
                <w:sz w:val="21"/>
              </w:rPr>
              <w:t>4.内务考核：采购人按《内务考评月评分表》</w:t>
            </w:r>
            <w:r>
              <w:rPr>
                <w:sz w:val="21"/>
              </w:rPr>
              <w:t>（</w:t>
            </w:r>
            <w:r>
              <w:rPr>
                <w:sz w:val="21"/>
              </w:rPr>
              <w:t>详见合同附件三</w:t>
            </w:r>
            <w:r>
              <w:rPr>
                <w:sz w:val="21"/>
              </w:rPr>
              <w:t>）</w:t>
            </w:r>
            <w:r>
              <w:rPr>
                <w:sz w:val="21"/>
              </w:rPr>
              <w:t>内容每月不定期进行检查（每月一次），以</w:t>
            </w:r>
            <w:r>
              <w:rPr>
                <w:sz w:val="21"/>
              </w:rPr>
              <w:t>100分为基础，减去考核扣减分数得出每月检查成绩作为内务考核分数。</w:t>
            </w:r>
          </w:p>
          <w:p>
            <w:r>
              <w:rPr>
                <w:sz w:val="21"/>
              </w:rPr>
              <w:t>若成交供应商对于采购人的评分有异议，须在采购人出示当天提出，若经采购人核实，扣分情况不存在的，则采购人可修改该评分。若成交供应商对于采购人的评分情况没有异议或经双方讨论后，采购人根据实际情况仍认为成交供应商存在扣分情况，则成交供应商须服从采购人的评分。</w:t>
            </w:r>
          </w:p>
          <w:p>
            <w:r>
              <w:rPr>
                <w:sz w:val="21"/>
              </w:rPr>
              <w:t>项目实施过程中，采购人可根据实际情况对考核评定进行合理的修改或补充，成交供应商须无条件接受。</w:t>
            </w:r>
          </w:p>
          <w:p>
            <w:r>
              <w:rPr>
                <w:sz w:val="21"/>
              </w:rPr>
              <w:t>（二）服务费用计算方式</w:t>
            </w:r>
          </w:p>
          <w:p>
            <w:r>
              <w:rPr>
                <w:sz w:val="21"/>
              </w:rPr>
              <w:t>1.月度评分=路面效果考核×60%+信息系统考核×20%+内务考核×20%</w:t>
            </w:r>
          </w:p>
          <w:p>
            <w:r>
              <w:rPr>
                <w:sz w:val="21"/>
              </w:rPr>
              <w:t>2.如月度评分达到85分及85分以上，则不作处罚；84-60分范围内，以85分为基数每减少1分，则扣减当月基础服务费用的1%作为惩罚；低于60分为不合格，扣减当月基础服务费用的30%作为惩罚，采购人应立即向成交单位发出服务整改限期通知书。若服务期内连续2次或累计3次在整改限期内整改不合格或拒不整改的，采购人有权无条件终止服务合同，并取消成交供应商的服务资格，一切经济和法律责任由成交供应商承担。</w:t>
            </w:r>
          </w:p>
          <w:p>
            <w:r>
              <w:rPr>
                <w:sz w:val="21"/>
              </w:rPr>
              <w:t>3.当月应付服务费=当月基础服务费×（1-月度评分对应的扣罚比例）-月暗检扣减罚金</w:t>
            </w:r>
          </w:p>
          <w:p>
            <w:r>
              <w:rPr>
                <w:sz w:val="21"/>
              </w:rPr>
              <w:t>4.当季度应付服务费=当季度每月应付服务费之和</w:t>
            </w:r>
          </w:p>
          <w:p>
            <w:pPr>
              <w:ind w:firstLine="211"/>
            </w:pPr>
            <w:r>
              <w:rPr>
                <w:b/>
                <w:sz w:val="21"/>
              </w:rPr>
              <w:t>五、其他要求</w:t>
            </w:r>
          </w:p>
          <w:p>
            <w:r>
              <w:rPr>
                <w:sz w:val="21"/>
              </w:rPr>
              <w:t>1.签订合同后十五日内，成交供应商必须提供以下资料进行备案：①人员（项目负责人、项目组长、服务人员）与成交供应商签订的劳动合同；②车辆购买发票或租赁合同；③不少于200平方米场地的相关证明材料；</w:t>
            </w:r>
          </w:p>
          <w:p>
            <w:r>
              <w:rPr>
                <w:sz w:val="21"/>
              </w:rPr>
              <w:t>2.服务期内，若因成交供应商原因更换项目负责人和项目组长的，须经采购人书面同意；若因成交供应商原因更换服务人员的，须重新提交服务人员的备案资料并在当月内补齐；</w:t>
            </w:r>
          </w:p>
          <w:p>
            <w:r>
              <w:rPr>
                <w:sz w:val="21"/>
              </w:rPr>
              <w:t>3.服务期内，若因成交供应商无力履行合同责任或严重违约或出现重大安全事故的，采购人有权终止合同并不再支付当月服务费。</w:t>
            </w:r>
          </w:p>
          <w:p>
            <w:r>
              <w:rPr>
                <w:sz w:val="21"/>
              </w:rPr>
              <w:t>4.根据中华人民共和国财政部令第102号《政府购买服务管理办法》，成交供应商应当履行以下义务：①应当按照合同约定提供服务，不得将服务项目转包给其他主体。②应当建立政府购买服务项目台账，依照有关规定或合同约定记录保存并向采购人提供项目实施相关重要资料信息。③应当严格遵守相关财务规定，规范管理和使用政府购买服务项目资金。④应当配合相关部门对资金使用情况进行监督检查与绩效评价。</w:t>
            </w:r>
          </w:p>
          <w:p>
            <w:r>
              <w:rPr>
                <w:sz w:val="21"/>
              </w:rPr>
              <w:t>5.成交供应商应对服务人员进行安全培训，服务期间出现服务人员的人身或其他安全事故均由成交供应商负责，与采购人无关。</w:t>
            </w:r>
          </w:p>
          <w:p>
            <w:r>
              <w:rPr>
                <w:sz w:val="21"/>
              </w:rPr>
              <w:t>6.成交供应商应为服务人员购买社保等基本的保障并及时发放工资，成交供应商应与服务人员出现的劳务纠纷由成交供应商负责并及时解决，与采购人无关。</w:t>
            </w:r>
          </w:p>
          <w:p>
            <w:r>
              <w:rPr>
                <w:sz w:val="21"/>
              </w:rPr>
              <w:t>7.本项目以路面劝导为主，也涉及</w:t>
            </w:r>
            <w:r>
              <w:rPr>
                <w:sz w:val="21"/>
              </w:rPr>
              <w:t>突发事件</w:t>
            </w:r>
            <w:r>
              <w:rPr>
                <w:sz w:val="21"/>
              </w:rPr>
              <w:t>、</w:t>
            </w:r>
            <w:r>
              <w:rPr>
                <w:sz w:val="21"/>
              </w:rPr>
              <w:t>大型活动、重大节假日</w:t>
            </w:r>
            <w:r>
              <w:rPr>
                <w:sz w:val="21"/>
              </w:rPr>
              <w:t>应急处理</w:t>
            </w:r>
            <w:r>
              <w:rPr>
                <w:sz w:val="21"/>
              </w:rPr>
              <w:t>，成交供应商应考虑路面突发情况，拟投入人员中建议包含退伍军人或保安员。</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1.采购代理机构：本项目是指佛山市信悦咨询有限公司，负责整个采购活动的组织，依法负责编制和发布磋商文件，对磋商文件拥有最终的解释权，不以任何身份出任磋商小组成员。</w:t>
      </w:r>
    </w:p>
    <w:p>
      <w:pPr>
        <w:ind w:firstLine="480"/>
      </w:pPr>
      <w:r>
        <w:rPr/>
        <w:t>2.采购人：本项目是指</w:t>
      </w:r>
      <w:r>
        <w:rPr/>
        <w:t>佛山市禅城区南庄镇综合行政执法办公室（佛山市禅城区南庄镇综合行政执法队）</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采购机构代理服务收费标准：成交供应商须向采购代理机构缴纳招标代理服务费，按采购包独立计算，以成交通知书中各采购包成交金额作为招标代理服务费的计算基数。 招标代理服务费收费采用差额定率累进法计算方式。按中华人民共和国国家发展计划委员会颁发的计价格[2002]1980号、国家发改委[2003]857号及发改价格2011534号文规定的“服务类”×80%计算。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1，如竞争性磋商公告与竞争性磋商文件同一内容描述不一致的，以竞争性磋商文件为准。</w:t>
            </w:r>
          </w:p>
          <w:p>
            <w:pPr>
              <w:jc w:val="left"/>
            </w:pPr>
            <w:r>
              <w:rPr/>
              <w:t>2，温馨提示，因本项目为竞争性磋商方式，需要进行最终报价，磋商时，响应供应商自行登录系统进行最终报价。</w:t>
            </w:r>
          </w:p>
          <w:p>
            <w:pPr>
              <w:jc w:val="left"/>
            </w:pPr>
            <w:r>
              <w:rPr/>
              <w:t>3，合同签订时间补充说明，按照《佛山市政务服务数据管理局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4，按照《佛山市政务服务数据管理局 佛山市财政局关于进一步促进公平竞争优化政府采购营商环境的通知》（佛政数函[2021] 54号），参与政府采购的小微企业可凭借中标(成交)通知书或政府采购合同，利用“省中小融”、“粤信融”、“中征应收账款融资服务平台”等平台向金融机构申请融资，获得无财产抵押贷款。</w:t>
            </w:r>
          </w:p>
          <w:p>
            <w:pPr>
              <w:jc w:val="left"/>
            </w:pPr>
            <w:r>
              <w:rPr/>
              <w:t>5，本竞争性磋商文件内要求的扫描件或复印件，可以是原件的扫描件，也可以是复印件的扫描件。扫描件性质上可视为复印件。</w:t>
            </w:r>
          </w:p>
          <w:p>
            <w:pPr>
              <w:jc w:val="left"/>
            </w:pPr>
            <w:r>
              <w:rPr/>
              <w:t>6，最终报价是否需要响应供应商加盖公章以磋商时磋商小组系统设置为准，如本竞争性磋商文件与此描述有不一致的，以此描述为准。</w:t>
            </w:r>
          </w:p>
          <w:p>
            <w:pPr>
              <w:jc w:val="left"/>
            </w:pPr>
            <w:r>
              <w:rPr/>
              <w:t>7，因电子标系统相对固化，竞争性磋商文件内有关专门面向小微企业采购情况描述不一致的，应以竞争性磋商文件第一章《磋商邀请》“二.申请人的资格要求”中“2.落实政府采购政策需满足的资格要求”的各采购包小微企业面向情况为准。</w:t>
            </w:r>
          </w:p>
          <w:p>
            <w:pPr>
              <w:jc w:val="left"/>
            </w:pPr>
            <w:r>
              <w:rPr/>
              <w:t>8，因电子标系统相对固化，《政府采购供应商资格信用承诺函》格式详见竞争性磋商公告附件。如供应商对本项目资格要求内财务状况报告、依法缴纳税收和社会保障资金、没有重大违法记录等证明材料采取《政府采购供应商资格信用承诺函》承诺的，请按此格式进行承诺，如未按此格式进行承诺，也未提供相应证明材料的，供应商自行承担不利后果。</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采购包1：面向小微企业，采购包专门预留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；请各供应商在响应文件递交截止时间前按须知前附表规定的金额递交至</w:t>
      </w:r>
      <w:r>
        <w:rPr/>
        <w:t>佛山市信悦咨询有限公司</w:t>
      </w:r>
      <w:r>
        <w:rPr/>
        <w:t>，到账情况以开启时</w:t>
      </w:r>
      <w:r>
        <w:rPr/>
        <w:t>佛山市信悦咨询有限公司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佛山市公共资源交易网（http://ggzy.foshan.gov.cn/）、佛山市公共资源交易中心禅城分中心（http://ccggzy.chancheng.gov.cn/）、佛山市禅城区南庄镇人民政府网(www.chancheng.gov.cn/nanzhuang/)、采购代理机构网站（www.fssxyzx.com）。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佛山市公共资源交易网（http://ggzy.foshan.gov.cn/）、佛山市公共资源交易中心禅城分中心（http://ccggzy.chancheng.gov.cn/）、佛山市禅城区南庄镇人民政府网(www.chancheng.gov.cn/nanzhuang/)、采购代理机构网站（www.fssxyzx.com）。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0757-83279001</w:t>
      </w:r>
    </w:p>
    <w:p>
      <w:pPr>
        <w:ind w:firstLine="480"/>
      </w:pPr>
      <w:r>
        <w:rPr/>
        <w:t>传真：</w:t>
      </w:r>
      <w:r>
        <w:rPr/>
        <w:t>0757-83279081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政府采购监督管理机构名称：佛山市禅城区财政局政府采购监管科</w:t>
      </w:r>
    </w:p>
    <w:p>
      <w:r>
        <w:rPr/>
        <w:t>地  址：佛山市禅城区岭南大道北80号2号楼</w:t>
      </w:r>
    </w:p>
    <w:p>
      <w:r>
        <w:rPr/>
        <w:t>电  话：0757-83281109</w:t>
      </w:r>
    </w:p>
    <w:p>
      <w:r>
        <w:rPr/>
        <w:t>邮  编：528000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南庄镇市容环境管理文明劝导外包服务（2023年）采购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佛山市信悦咨询有限公司</w:t>
      </w:r>
      <w:r>
        <w:rPr/>
        <w:t>统一对外发布。</w:t>
      </w:r>
    </w:p>
    <w:p>
      <w:pPr>
        <w:ind w:firstLine="480"/>
      </w:pPr>
      <w:r>
        <w:rPr/>
        <w:t>（2）对</w:t>
      </w:r>
      <w:r>
        <w:rPr/>
        <w:t>佛山市信悦咨询有限公司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采购包1（南庄镇市容环境管理文明劝导外包服务（2023年）采购项目）：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采购包1（南庄镇市容环境管理文明劝导外包服务（2023年）采购项目）：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国家另有规定的，则从其定。【分支机构响应的，须提供总公司（总所）和分公司营业执照（执业许可证）副本复印件，具有法人资格的总公司（总所）出具给分支机构的授权书。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响应文件递交截止日前6个月内（含截止日当月）任意1个月缴纳税收和社会保险的凭据证明材料扫描件，或依法免税（或不需要缴纳社会保障资金）的相应证明材料，或提供《政府采购供应商资格信用承诺函》（按照竞争性磋商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响应文件递交截止日前6个月内（不含截止日当月）任意1个月的财务状况报告扫描件，或提供响应文件递交截止日前6个月内（含截止日当月）基本开户行出具的资信证明扫描件，或提供《政府采购供应商资格信用承诺函》（按照竞争性磋商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提供履行合同所必需的设备及专业技术情况表或相关承诺（自拟格式）。</w:t>
            </w:r>
          </w:p>
        </w:tc>
      </w:tr>
      <w:tr>
        <w:tc>
          <w:tcPr>
            <w:tcW w:type="dxa" w:w="890"/>
          </w:tcPr>
          <w:p>
            <w:r>
              <w:rPr/>
              <w:t>5</w:t>
            </w:r>
          </w:p>
        </w:tc>
        <w:tc>
          <w:tcPr>
            <w:tcW w:type="dxa" w:w="3178"/>
          </w:tcPr>
          <w:p>
            <w:r>
              <w:rPr/>
              <w:t>参加采购活动前3年内，在经营活动中没有重大违法记录</w:t>
            </w:r>
          </w:p>
        </w:tc>
        <w:tc>
          <w:tcPr>
            <w:tcW w:type="dxa" w:w="4238"/>
          </w:tcPr>
          <w:p>
            <w:r>
              <w:rPr/>
              <w:t>提供《响应承诺函》（按照竞争性磋商文件第六章《响应文件格式与要求》进行承诺），或提供《政府采购供应商资格信用承诺函》（按照竞争性磋商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重大税收违法失信主体、政府采购严重违法失信行为记录名单”记录名单；不处于中国政府采购网(www.ccgp.gov.cn)“政府采购严重违法失信行为信息记录”中的禁止参加政府采购活动期间。【以采购代理机构于开标（开启）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tc>
      </w:tr>
      <w:tr>
        <w:tc>
          <w:tcPr>
            <w:tcW w:type="dxa" w:w="890"/>
          </w:tcPr>
          <w:p>
            <w:r>
              <w:rPr/>
              <w:t>8</w:t>
            </w:r>
          </w:p>
        </w:tc>
        <w:tc>
          <w:tcPr>
            <w:tcW w:type="dxa" w:w="3178"/>
          </w:tcPr>
          <w:p>
            <w:r>
              <w:rPr/>
              <w:t>本采购包专门面向中小企业采购</w:t>
            </w:r>
          </w:p>
        </w:tc>
        <w:tc>
          <w:tcPr>
            <w:tcW w:type="dxa" w:w="4238"/>
          </w:tcPr>
          <w:p>
            <w:r>
              <w:rPr/>
              <w:t>采购包整体专门面向小微企业，供应商须为小微企业或监狱企业或残疾人福利性单位。本项目行业为：其他未列明行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采购包1（南庄镇市容环境管理文明劝导外包服务（2023年）采购项目）：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响应承诺函已提交并符合竞争性磋商文件要求的。</w:t>
            </w:r>
          </w:p>
        </w:tc>
      </w:tr>
      <w:tr>
        <w:tc>
          <w:tcPr>
            <w:tcW w:type="dxa" w:w="890"/>
          </w:tcPr>
          <w:p>
            <w:r>
              <w:rPr/>
              <w:t>2</w:t>
            </w:r>
          </w:p>
        </w:tc>
        <w:tc>
          <w:tcPr>
            <w:tcW w:type="dxa" w:w="3178"/>
          </w:tcPr>
          <w:p>
            <w:r>
              <w:rPr/>
              <w:t>签署、盖章</w:t>
            </w:r>
          </w:p>
        </w:tc>
        <w:tc>
          <w:tcPr>
            <w:tcW w:type="dxa" w:w="4238"/>
          </w:tcPr>
          <w:p>
            <w:r>
              <w:rPr/>
              <w:t>按照竞争性磋商文件规定要求签署、盖章且响应文件有法定代表人签字或盖章（或签字人有法定代表人有效授权书）的。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响应文件满足竞争性磋商文件中标注★号条款的。</w:t>
            </w:r>
          </w:p>
        </w:tc>
      </w:tr>
      <w:tr>
        <w:tc>
          <w:tcPr>
            <w:tcW w:type="dxa" w:w="890"/>
          </w:tcPr>
          <w:p>
            <w:r>
              <w:rPr/>
              <w:t>4</w:t>
            </w:r>
          </w:p>
        </w:tc>
        <w:tc>
          <w:tcPr>
            <w:tcW w:type="dxa" w:w="3178"/>
          </w:tcPr>
          <w:p>
            <w:r>
              <w:rPr/>
              <w:t>首次报价</w:t>
            </w:r>
          </w:p>
        </w:tc>
        <w:tc>
          <w:tcPr>
            <w:tcW w:type="dxa" w:w="4238"/>
          </w:tcPr>
          <w:p>
            <w:r>
              <w:rPr/>
              <w:t>首次报价未超过本项目采购预算。</w:t>
            </w:r>
          </w:p>
        </w:tc>
      </w:tr>
      <w:tr>
        <w:tc>
          <w:tcPr>
            <w:tcW w:type="dxa" w:w="890"/>
          </w:tcPr>
          <w:p>
            <w:r>
              <w:rPr/>
              <w:t>5</w:t>
            </w:r>
          </w:p>
        </w:tc>
        <w:tc>
          <w:tcPr>
            <w:tcW w:type="dxa" w:w="3178"/>
          </w:tcPr>
          <w:p>
            <w:r>
              <w:rPr/>
              <w:t>其他</w:t>
            </w:r>
          </w:p>
        </w:tc>
        <w:tc>
          <w:tcPr>
            <w:tcW w:type="dxa" w:w="4238"/>
          </w:tcPr>
          <w:p>
            <w:r>
              <w:rPr/>
              <w:t>响应文件中未有法律、法规和竞争性磋商文件规定的其他无效情形。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采购包1(南庄镇市容环境管理文明劝导外包服务（2023年）采购项目):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《技术和服务要求响应表》条款偏离程度  (5.0分)</w:t>
            </w:r>
          </w:p>
        </w:tc>
        <w:tc>
          <w:tcPr>
            <w:tcW w:type="dxa" w:w="5076"/>
          </w:tcPr>
          <w:p>
            <w:pPr>
              <w:jc w:val="left"/>
            </w:pPr>
            <w:r>
              <w:rPr/>
              <w:t>根据竞争性磋商文件《第二章 采购需求》技术标准与要求内“附表一”的响应程度进行评分：带“▲”条款：每无偏离或正偏离一项得2.5分，最高得5分。以投标人的响应承诺作为评审依据。</w:t>
            </w:r>
          </w:p>
        </w:tc>
      </w:tr>
      <w:tr>
        <w:tc>
          <w:tcPr>
            <w:tcW w:type="dxa" w:w="922"/>
            <w:gridSpan w:val="2"/>
            <w:vMerge/>
          </w:tcPr>
          <w:p/>
        </w:tc>
        <w:tc>
          <w:tcPr>
            <w:tcW w:type="dxa" w:w="2307"/>
          </w:tcPr>
          <w:p>
            <w:pPr>
              <w:jc w:val="left"/>
            </w:pPr>
            <w:r>
              <w:rPr/>
              <w:t>服务方案 (10.0分)</w:t>
            </w:r>
            <w:r>
              <w:rPr/>
              <w:t>，（等次分值选择：</w:t>
            </w:r>
            <w:r>
              <w:rPr/>
              <w:t>0.0;</w:t>
            </w:r>
            <w:r>
              <w:rPr/>
              <w:t>1.0;</w:t>
            </w:r>
            <w:r>
              <w:rPr/>
              <w:t>4.0;</w:t>
            </w:r>
            <w:r>
              <w:rPr/>
              <w:t>7.0;</w:t>
            </w:r>
            <w:r>
              <w:rPr/>
              <w:t>10.0;</w:t>
            </w:r>
            <w:r>
              <w:rPr/>
              <w:t>）</w:t>
            </w:r>
          </w:p>
        </w:tc>
        <w:tc>
          <w:tcPr>
            <w:tcW w:type="dxa" w:w="5076"/>
          </w:tcPr>
          <w:p>
            <w:pPr>
              <w:jc w:val="left"/>
            </w:pPr>
            <w:r>
              <w:rPr/>
              <w:t>根据响应供应商提供的服务方案进行评审： 1.方案制定详细、服务项目全面、且操作性强，服务措施完善严密、先进实用的，得10分； 2.方案制定较详细，具有基本的服务项目、操作性较强，服务措施较完善严密、实用的，得7分； 3.方案制定只具备部分服务项目，方案有一定操作性，服务措施不完整，得4分； 4.方案制定差，非专门针对本项目、服务项目较少且操作性不强，服务措施不完整、不严密的，得1分； 5未提供方案不得分。</w:t>
            </w:r>
          </w:p>
        </w:tc>
      </w:tr>
      <w:tr>
        <w:tc>
          <w:tcPr>
            <w:tcW w:type="dxa" w:w="922"/>
            <w:gridSpan w:val="2"/>
            <w:vMerge/>
          </w:tcPr>
          <w:p/>
        </w:tc>
        <w:tc>
          <w:tcPr>
            <w:tcW w:type="dxa" w:w="2307"/>
          </w:tcPr>
          <w:p>
            <w:pPr>
              <w:jc w:val="left"/>
            </w:pPr>
            <w:r>
              <w:rPr/>
              <w:t>对项目需求的理解  (10.0分)</w:t>
            </w:r>
            <w:r>
              <w:rPr/>
              <w:t>，（等次分值选择：</w:t>
            </w:r>
            <w:r>
              <w:rPr/>
              <w:t>0.0;</w:t>
            </w:r>
            <w:r>
              <w:rPr/>
              <w:t>1.0;</w:t>
            </w:r>
            <w:r>
              <w:rPr/>
              <w:t>4.0;</w:t>
            </w:r>
            <w:r>
              <w:rPr/>
              <w:t>7.0;</w:t>
            </w:r>
            <w:r>
              <w:rPr/>
              <w:t>10.0;</w:t>
            </w:r>
            <w:r>
              <w:rPr/>
              <w:t>）</w:t>
            </w:r>
          </w:p>
        </w:tc>
        <w:tc>
          <w:tcPr>
            <w:tcW w:type="dxa" w:w="5076"/>
          </w:tcPr>
          <w:p>
            <w:pPr>
              <w:jc w:val="left"/>
            </w:pPr>
            <w:r>
              <w:rPr/>
              <w:t>根据响应供应商对本项目需求特点、概况、特征、工作范围、工作标准与技术要求等方面的把握情况进行评审： 1.方案满足或优于本项目的需求，可操作性强，针对性全面清晰具体的，得10分；  2.方案满足本项目的需求，可操作性较强，针对性较为全面的，得7分；  3.方案基本满足本项目的需求，有一定针对性与可操作性得4分。 4.方案不能满足本项目的需求，可操作性差，针对性不全面的，得1分。  5.其他或不提供不得分。</w:t>
            </w:r>
          </w:p>
        </w:tc>
      </w:tr>
      <w:tr>
        <w:tc>
          <w:tcPr>
            <w:tcW w:type="dxa" w:w="922"/>
            <w:gridSpan w:val="2"/>
            <w:vMerge/>
          </w:tcPr>
          <w:p/>
        </w:tc>
        <w:tc>
          <w:tcPr>
            <w:tcW w:type="dxa" w:w="2307"/>
          </w:tcPr>
          <w:p>
            <w:pPr>
              <w:jc w:val="left"/>
            </w:pPr>
            <w:r>
              <w:rPr/>
              <w:t>项目组织实施方案 (10.0分)</w:t>
            </w:r>
            <w:r>
              <w:rPr/>
              <w:t>，（等次分值选择：</w:t>
            </w:r>
            <w:r>
              <w:rPr/>
              <w:t>0.0;</w:t>
            </w:r>
            <w:r>
              <w:rPr/>
              <w:t>1.0;</w:t>
            </w:r>
            <w:r>
              <w:rPr/>
              <w:t>4.0;</w:t>
            </w:r>
            <w:r>
              <w:rPr/>
              <w:t>7.0;</w:t>
            </w:r>
            <w:r>
              <w:rPr/>
              <w:t>10.0;</w:t>
            </w:r>
            <w:r>
              <w:rPr/>
              <w:t>）</w:t>
            </w:r>
          </w:p>
        </w:tc>
        <w:tc>
          <w:tcPr>
            <w:tcW w:type="dxa" w:w="5076"/>
          </w:tcPr>
          <w:p>
            <w:pPr>
              <w:jc w:val="left"/>
            </w:pPr>
            <w:r>
              <w:rPr/>
              <w:t>根据响应供应商针对本项目组织实施方案进行评审： 1.项目组织实施方案科学、先进、合理，可操作性强的，得10分；  2.项目组织实施方案合理，可操作性较强的，得7分； 3.项目组织实施方案基本合理，有一定可操作性的，得4分；  4.项目组织实施方案不够合理性、可操作性较差的，得1分；  5.其他或不提供不得分。</w:t>
            </w:r>
          </w:p>
        </w:tc>
      </w:tr>
      <w:tr>
        <w:tc>
          <w:tcPr>
            <w:tcW w:type="dxa" w:w="922"/>
            <w:gridSpan w:val="2"/>
            <w:vMerge/>
          </w:tcPr>
          <w:p/>
        </w:tc>
        <w:tc>
          <w:tcPr>
            <w:tcW w:type="dxa" w:w="2307"/>
          </w:tcPr>
          <w:p>
            <w:pPr>
              <w:jc w:val="left"/>
            </w:pPr>
            <w:r>
              <w:rPr/>
              <w:t>针对本项目的突发事件应急处理方案 (8.0分)</w:t>
            </w:r>
            <w:r>
              <w:rPr/>
              <w:t>，（等次分值选择：</w:t>
            </w:r>
            <w:r>
              <w:rPr/>
              <w:t>0.0;</w:t>
            </w:r>
            <w:r>
              <w:rPr/>
              <w:t>1.0;</w:t>
            </w:r>
            <w:r>
              <w:rPr/>
              <w:t>5.0;</w:t>
            </w:r>
            <w:r>
              <w:rPr/>
              <w:t>8.0;</w:t>
            </w:r>
            <w:r>
              <w:rPr/>
              <w:t>）</w:t>
            </w:r>
          </w:p>
        </w:tc>
        <w:tc>
          <w:tcPr>
            <w:tcW w:type="dxa" w:w="5076"/>
          </w:tcPr>
          <w:p>
            <w:pPr>
              <w:jc w:val="left"/>
            </w:pPr>
            <w:r>
              <w:rPr/>
              <w:t>根据响应供应商针对本项目的突发事件应急处理方案进行评审：（应急处理方案包括但不限于对重要检查及采购人特别委派任务、大型活动、重大节假日 、突发公共事件的应急处理措施）  1、方案全面清晰具体，有详细步骤分析的，得8分；  2、方案较为全面清晰具体，有步骤分析的，得5分；  3、方案不全面且不清晰，没有步骤分析的，得1分。 4、 其他或不提供不得分。</w:t>
            </w:r>
          </w:p>
        </w:tc>
      </w:tr>
      <w:tr>
        <w:tc>
          <w:tcPr>
            <w:tcW w:type="dxa" w:w="922"/>
            <w:gridSpan w:val="2"/>
            <w:vMerge/>
          </w:tcPr>
          <w:p/>
        </w:tc>
        <w:tc>
          <w:tcPr>
            <w:tcW w:type="dxa" w:w="2307"/>
          </w:tcPr>
          <w:p>
            <w:pPr>
              <w:jc w:val="left"/>
            </w:pPr>
            <w:r>
              <w:rPr/>
              <w:t>针对本项目具体交接计划 (8.0分)</w:t>
            </w:r>
            <w:r>
              <w:rPr/>
              <w:t>，（等次分值选择：</w:t>
            </w:r>
            <w:r>
              <w:rPr/>
              <w:t>0.0;</w:t>
            </w:r>
            <w:r>
              <w:rPr/>
              <w:t>1.0;</w:t>
            </w:r>
            <w:r>
              <w:rPr/>
              <w:t>5.0;</w:t>
            </w:r>
            <w:r>
              <w:rPr/>
              <w:t>8.0;</w:t>
            </w:r>
            <w:r>
              <w:rPr/>
              <w:t>）</w:t>
            </w:r>
          </w:p>
        </w:tc>
        <w:tc>
          <w:tcPr>
            <w:tcW w:type="dxa" w:w="5076"/>
          </w:tcPr>
          <w:p>
            <w:pPr>
              <w:jc w:val="left"/>
            </w:pPr>
            <w:r>
              <w:rPr/>
              <w:t>根据响应供应商针对本项目提供的具体交接计划进行评审： 1.制定详细、清晰、合理的交接计划，得8分；  2.制定的计划基本清晰的，得5分；  3.有制定交接计划但不清晰的，得1分；  4.其他或不提供不得分。</w:t>
            </w:r>
          </w:p>
        </w:tc>
      </w:tr>
      <w:tr>
        <w:tc>
          <w:tcPr>
            <w:tcW w:type="dxa" w:w="922"/>
            <w:gridSpan w:val="2"/>
            <w:vMerge/>
          </w:tcPr>
          <w:p/>
        </w:tc>
        <w:tc>
          <w:tcPr>
            <w:tcW w:type="dxa" w:w="2307"/>
          </w:tcPr>
          <w:p>
            <w:pPr>
              <w:jc w:val="left"/>
            </w:pPr>
            <w:r>
              <w:rPr/>
              <w:t>投入本项目服务人员的工作管理计划 (4.0分)</w:t>
            </w:r>
            <w:r>
              <w:rPr/>
              <w:t>，（等次分值选择：</w:t>
            </w:r>
            <w:r>
              <w:rPr/>
              <w:t>0.0;</w:t>
            </w:r>
            <w:r>
              <w:rPr/>
              <w:t>1.0;</w:t>
            </w:r>
            <w:r>
              <w:rPr/>
              <w:t>3.0;</w:t>
            </w:r>
            <w:r>
              <w:rPr/>
              <w:t>4.0;</w:t>
            </w:r>
            <w:r>
              <w:rPr/>
              <w:t>）</w:t>
            </w:r>
          </w:p>
        </w:tc>
        <w:tc>
          <w:tcPr>
            <w:tcW w:type="dxa" w:w="5076"/>
          </w:tcPr>
          <w:p>
            <w:pPr>
              <w:jc w:val="left"/>
            </w:pPr>
            <w:r>
              <w:rPr/>
              <w:t>根据各供应商的工作管理计划包含但不限于管理服务人员配备方案、招录计划、工作管理制度、工作安排计划、考核机制等进行评审：  1.方案详细完善，工作管理制度条理清晰，工作安排计划优于本项目要求，考核机制切实可行，操作性强的，得4分；  2.方案较详细，工作管理制度条理较清晰，工作安排计划基本符合本项目要求，考核机制切实可行，操作性较强的，得3分；  3.方案不够详细，工作管理制度条理不够清晰，工作安排计划不符合本项目要求，考核机制差，操作性差的，得1分；  4.其他或不提供不得分。</w:t>
            </w:r>
          </w:p>
        </w:tc>
      </w:tr>
      <w:tr>
        <w:tc>
          <w:tcPr>
            <w:tcW w:type="dxa" w:w="922"/>
            <w:gridSpan w:val="2"/>
            <w:vMerge w:val="restart"/>
          </w:tcPr>
          <w:p>
            <w:pPr>
              <w:jc w:val="center"/>
            </w:pPr>
            <w:r>
              <w:rPr/>
              <w:t>商务部分</w:t>
            </w:r>
          </w:p>
        </w:tc>
        <w:tc>
          <w:tcPr>
            <w:tcW w:type="dxa" w:w="2307"/>
          </w:tcPr>
          <w:p>
            <w:pPr>
              <w:jc w:val="left"/>
            </w:pPr>
            <w:r>
              <w:rPr/>
              <w:t>同类项目业绩 (9.0分)</w:t>
            </w:r>
          </w:p>
        </w:tc>
        <w:tc>
          <w:tcPr>
            <w:tcW w:type="dxa" w:w="5076"/>
          </w:tcPr>
          <w:p>
            <w:pPr>
              <w:jc w:val="left"/>
            </w:pPr>
            <w:r>
              <w:rPr/>
              <w:t>根据响应供应商提供的同类业绩进行评审： 2020年1月1日至投标截止时间（以合同签订时间为准），响应供应商承接的同类项目业绩，每提供一项得3分，最高得9分。  注：须提供合同关键页扫描件（要点包括项目名称、合同签订时间、项目主要内容和双方盖章页）并加盖响应供应商公章作为证明资料。不提供或提供不全不得分。</w:t>
            </w:r>
          </w:p>
        </w:tc>
      </w:tr>
      <w:tr>
        <w:tc>
          <w:tcPr>
            <w:tcW w:type="dxa" w:w="922"/>
            <w:gridSpan w:val="2"/>
            <w:vMerge/>
          </w:tcPr>
          <w:p/>
        </w:tc>
        <w:tc>
          <w:tcPr>
            <w:tcW w:type="dxa" w:w="2307"/>
          </w:tcPr>
          <w:p>
            <w:pPr>
              <w:jc w:val="left"/>
            </w:pPr>
            <w:r>
              <w:rPr/>
              <w:t>项目业绩评价 (9.0分)</w:t>
            </w:r>
          </w:p>
        </w:tc>
        <w:tc>
          <w:tcPr>
            <w:tcW w:type="dxa" w:w="5076"/>
          </w:tcPr>
          <w:p>
            <w:pPr>
              <w:jc w:val="left"/>
            </w:pPr>
            <w:r>
              <w:rPr/>
              <w:t>以上“同类项目业绩”中每提供一份客户评价为满意、优秀等好评证明的得3分，本小项最高得9分。 注：须提供甲方盖章的针对同类项目业绩的评价文件扫描件作为证明材料，不提供或提供不全不得分。</w:t>
            </w:r>
          </w:p>
        </w:tc>
      </w:tr>
      <w:tr>
        <w:tc>
          <w:tcPr>
            <w:tcW w:type="dxa" w:w="922"/>
            <w:gridSpan w:val="2"/>
            <w:vMerge/>
          </w:tcPr>
          <w:p/>
        </w:tc>
        <w:tc>
          <w:tcPr>
            <w:tcW w:type="dxa" w:w="2307"/>
          </w:tcPr>
          <w:p>
            <w:pPr>
              <w:jc w:val="left"/>
            </w:pPr>
            <w:r>
              <w:rPr/>
              <w:t>拟投入本项目人员 (5.0分)</w:t>
            </w:r>
          </w:p>
        </w:tc>
        <w:tc>
          <w:tcPr>
            <w:tcW w:type="dxa" w:w="5076"/>
          </w:tcPr>
          <w:p>
            <w:pPr>
              <w:jc w:val="left"/>
            </w:pPr>
            <w:r>
              <w:rPr/>
              <w:t>拟投入本项目人员具有退伍军人证或保安员证得5分。  注：须提供证书以及响应供应商近三个月内（含投标截止日当月）任意一个月为其缴纳的社保证明文件作为证明资料，不提供或提供不全不得分。</w:t>
            </w:r>
          </w:p>
        </w:tc>
      </w:tr>
      <w:tr>
        <w:tc>
          <w:tcPr>
            <w:tcW w:type="dxa" w:w="922"/>
            <w:gridSpan w:val="2"/>
            <w:vMerge/>
          </w:tcPr>
          <w:p/>
        </w:tc>
        <w:tc>
          <w:tcPr>
            <w:tcW w:type="dxa" w:w="2307"/>
          </w:tcPr>
          <w:p>
            <w:pPr>
              <w:jc w:val="left"/>
            </w:pPr>
            <w:r>
              <w:rPr/>
              <w:t>企业认证 (6.0分)</w:t>
            </w:r>
          </w:p>
        </w:tc>
        <w:tc>
          <w:tcPr>
            <w:tcW w:type="dxa" w:w="5076"/>
          </w:tcPr>
          <w:p>
            <w:pPr>
              <w:jc w:val="left"/>
            </w:pPr>
            <w:r>
              <w:rPr/>
              <w:t>响应供应商获得有效的质量管理体系认证、环境管理体系认证和职业健康安全管理体系认证的，每提供一个证书得2分，本项最高得6分。  注：须提供认证证书扫描件作为评审依据，不提供不得分。</w:t>
            </w:r>
          </w:p>
        </w:tc>
      </w:tr>
      <w:tr>
        <w:tc>
          <w:tcPr>
            <w:tcW w:type="dxa" w:w="922"/>
            <w:gridSpan w:val="2"/>
            <w:vMerge/>
          </w:tcPr>
          <w:p/>
        </w:tc>
        <w:tc>
          <w:tcPr>
            <w:tcW w:type="dxa" w:w="2307"/>
          </w:tcPr>
          <w:p>
            <w:pPr>
              <w:jc w:val="left"/>
            </w:pPr>
            <w:r>
              <w:rPr/>
              <w:t>服务响应时间 (6.0分)</w:t>
            </w:r>
            <w:r>
              <w:rPr/>
              <w:t>，（等次分值选择：</w:t>
            </w:r>
            <w:r>
              <w:rPr/>
              <w:t>0.0;</w:t>
            </w:r>
            <w:r>
              <w:rPr/>
              <w:t>1.0;</w:t>
            </w:r>
            <w:r>
              <w:rPr/>
              <w:t>3.0;</w:t>
            </w:r>
            <w:r>
              <w:rPr/>
              <w:t>6.0;</w:t>
            </w:r>
            <w:r>
              <w:rPr/>
              <w:t>）</w:t>
            </w:r>
          </w:p>
        </w:tc>
        <w:tc>
          <w:tcPr>
            <w:tcW w:type="dxa" w:w="5076"/>
          </w:tcPr>
          <w:p>
            <w:pPr>
              <w:jc w:val="left"/>
            </w:pPr>
            <w:r>
              <w:rPr/>
              <w:t>根据各响应供应商为本项目提供服务的响应时间进行评审： 1、响应供应商承诺接到采购人通知后半小时（含）以内响应的，得6分； 2、响应供应商承诺接到采购人通知后半小时（不含）以上一个小时（含）以内响应的，得3分； 3、响应供应商承诺接到采购人通知后一个小时（不含）以上响应的，得1分。 4、其他情况或不提供不得分。 注：需提供响应时间承诺函（格式自拟）。</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价格分应当采用低价优先法计算，即满足竞争性磋商文件要求且投标价格最低的投标（响应）报价为评标基准价，其价格分为满分。其他响应供应商的价格分统一按照下列公式计算： 投标（响应）报价得分=(评标基准价／最后报价)×价格权重×100  备注：投标报价得分四舍五入后，小数点后保留两位有效数。</w:t>
            </w:r>
          </w:p>
        </w:tc>
      </w:tr>
    </w:tbl>
    <w:p/>
    <w:p>
      <w:r>
        <w:rPr>
          <w:b/>
          <w:sz w:val="24"/>
        </w:rPr>
        <w:t>6.汇总、排序</w:t>
      </w:r>
    </w:p>
    <w:p>
      <w:pPr>
        <w:ind w:firstLine="480"/>
      </w:pPr>
    </w:p>
    <w:p/>
    <w:p>
      <w:r>
        <w:rPr/>
        <w:t>采购包1：</w:t>
      </w:r>
    </w:p>
    <w:p/>
    <w:p>
      <w:r>
        <w:rPr/>
        <w:t>磋商小组根据综合评分情况按照评审得分由高到低推荐3名成交候选人。评审得分相同的，按照最后报价由低到高的顺序推荐。评审得分且最后报价相同的，按照技术指标优劣顺序推荐。推荐综合得分排名第一的响应供应商为第一成交候选人，排名第二的响应供应商为第二成交候选人，排名第三的响应供应商为第三成交候选人。评审得分且最后报价相同的，按照技术指标优劣顺序推荐。</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color w:val="000000"/>
          <w:sz w:val="68"/>
        </w:rPr>
        <w:t>佛山市政府采购项目</w:t>
      </w:r>
    </w:p>
    <w:p>
      <w:pPr>
        <w:jc w:val="center"/>
      </w:pPr>
    </w:p>
    <w:p>
      <w:pPr>
        <w:jc w:val="center"/>
      </w:pPr>
      <w:r>
        <w:rPr>
          <w:color w:val="000000"/>
          <w:sz w:val="68"/>
        </w:rPr>
        <w:t>合</w:t>
      </w:r>
      <w:r>
        <w:rPr>
          <w:color w:val="000000"/>
          <w:sz w:val="68"/>
        </w:rPr>
        <w:t>同</w:t>
      </w:r>
      <w:r>
        <w:rPr>
          <w:color w:val="000000"/>
          <w:sz w:val="68"/>
        </w:rPr>
        <w:t>书</w:t>
      </w:r>
    </w:p>
    <w:p>
      <w:pPr>
        <w:jc w:val="center"/>
      </w:pPr>
    </w:p>
    <w:p>
      <w:pPr>
        <w:jc w:val="center"/>
      </w:pPr>
    </w:p>
    <w:p>
      <w:pPr>
        <w:jc w:val="center"/>
      </w:pPr>
    </w:p>
    <w:p>
      <w:pPr>
        <w:jc w:val="center"/>
      </w:pPr>
    </w:p>
    <w:p>
      <w:pPr>
        <w:ind w:firstLine="964"/>
      </w:pPr>
      <w:r>
        <w:rPr>
          <w:b/>
          <w:color w:val="000000"/>
          <w:sz w:val="24"/>
        </w:rPr>
        <w:t>项目编号：</w:t>
      </w:r>
      <w:r>
        <w:rPr>
          <w:b/>
          <w:color w:val="000000"/>
          <w:sz w:val="24"/>
          <w:u w:val="single"/>
        </w:rPr>
        <w:t>XY0123066</w:t>
      </w:r>
      <w:r>
        <w:rPr>
          <w:b/>
          <w:u w:val="single"/>
        </w:rPr>
        <w:t xml:space="preserve">      </w:t>
      </w:r>
    </w:p>
    <w:p>
      <w:pPr>
        <w:ind w:firstLine="964"/>
      </w:pPr>
      <w:r>
        <w:rPr>
          <w:b/>
          <w:color w:val="000000"/>
          <w:sz w:val="24"/>
        </w:rPr>
        <w:t>项目名称：</w:t>
      </w:r>
      <w:r>
        <w:rPr>
          <w:b/>
          <w:color w:val="000000"/>
          <w:sz w:val="24"/>
          <w:u w:val="single"/>
        </w:rPr>
        <w:t>南庄镇市容环境管理文明劝导外包服务（</w:t>
      </w:r>
      <w:r>
        <w:rPr>
          <w:b/>
          <w:color w:val="000000"/>
          <w:sz w:val="24"/>
          <w:u w:val="single"/>
        </w:rPr>
        <w:t>2023</w:t>
      </w:r>
      <w:r>
        <w:rPr>
          <w:b/>
          <w:color w:val="000000"/>
          <w:sz w:val="24"/>
          <w:u w:val="single"/>
        </w:rPr>
        <w:t>年）采购项目</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85"/>
        <w:gridCol w:w="6021"/>
      </w:tblGrid>
      <w:tr>
        <w:tc>
          <w:tcPr>
            <w:tcW w:type="dxa" w:w="2285"/>
            <w:tcBorders>
              <w:top w:val="none" w:color="000000" w:sz="4"/>
              <w:left w:val="none" w:color="000000" w:sz="4"/>
              <w:bottom w:val="none" w:color="000000" w:sz="4"/>
              <w:right w:val="none" w:color="000000" w:sz="4"/>
            </w:tcBorders>
            <w:vAlign w:val="top"/>
          </w:tcPr>
          <w:p>
            <w:pPr>
              <w:jc w:val="center"/>
            </w:pPr>
            <w:r>
              <w:rPr>
                <w:color w:val="000000"/>
                <w:sz w:val="28"/>
              </w:rPr>
              <w:t>甲</w:t>
            </w:r>
            <w:r>
              <w:rPr>
                <w:color w:val="000000"/>
                <w:sz w:val="28"/>
              </w:rPr>
              <w:t xml:space="preserve">   </w:t>
            </w:r>
            <w:r>
              <w:rPr>
                <w:color w:val="000000"/>
                <w:sz w:val="28"/>
              </w:rPr>
              <w:t>方：</w:t>
            </w:r>
          </w:p>
        </w:tc>
        <w:tc>
          <w:tcPr>
            <w:tcW w:type="dxa" w:w="6021"/>
            <w:tcBorders>
              <w:top w:val="none" w:color="000000" w:sz="4"/>
              <w:left w:val="none" w:color="000000" w:sz="4"/>
              <w:bottom w:val="none" w:color="000000" w:sz="4"/>
              <w:right w:val="none" w:color="000000" w:sz="4"/>
            </w:tcBorders>
            <w:vAlign w:val="top"/>
          </w:tcPr>
          <w:p>
            <w:pPr>
              <w:jc w:val="left"/>
            </w:pPr>
            <w:r>
              <w:rPr>
                <w:color w:val="000000"/>
                <w:sz w:val="28"/>
                <w:u w:val="single"/>
              </w:rPr>
              <w:t>佛山市禅城区南庄镇综合行政执法办公室（佛山市禅城区南庄镇综合行政执法队）</w:t>
            </w:r>
          </w:p>
        </w:tc>
      </w:tr>
      <w:tr>
        <w:tc>
          <w:tcPr>
            <w:tcW w:type="dxa" w:w="2285"/>
            <w:tcBorders>
              <w:top w:val="none" w:color="000000" w:sz="4"/>
              <w:left w:val="none" w:color="000000" w:sz="4"/>
              <w:bottom w:val="none" w:color="000000" w:sz="4"/>
              <w:right w:val="none" w:color="000000" w:sz="4"/>
            </w:tcBorders>
            <w:vAlign w:val="top"/>
          </w:tcPr>
          <w:p>
            <w:pPr>
              <w:jc w:val="center"/>
            </w:pPr>
            <w:r>
              <w:rPr>
                <w:color w:val="000000"/>
                <w:sz w:val="28"/>
              </w:rPr>
              <w:t>乙</w:t>
            </w:r>
            <w:r>
              <w:rPr>
                <w:color w:val="000000"/>
                <w:sz w:val="28"/>
              </w:rPr>
              <w:t xml:space="preserve">   </w:t>
            </w:r>
            <w:r>
              <w:rPr>
                <w:color w:val="000000"/>
                <w:sz w:val="28"/>
              </w:rPr>
              <w:t>方：</w:t>
            </w:r>
          </w:p>
        </w:tc>
        <w:tc>
          <w:tcPr>
            <w:tcW w:type="dxa" w:w="6021"/>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（中标</w:t>
            </w:r>
            <w:r>
              <w:rPr>
                <w:color w:val="000000"/>
                <w:sz w:val="28"/>
                <w:u w:val="single"/>
              </w:rPr>
              <w:t xml:space="preserve">/成交供应商名称）      </w:t>
            </w:r>
          </w:p>
        </w:tc>
      </w:tr>
      <w:tr>
        <w:tc>
          <w:tcPr>
            <w:tcW w:type="dxa" w:w="2285"/>
            <w:tcBorders>
              <w:top w:val="none" w:color="000000" w:sz="4"/>
              <w:left w:val="none" w:color="000000" w:sz="4"/>
              <w:bottom w:val="none" w:color="000000" w:sz="4"/>
              <w:right w:val="none" w:color="000000" w:sz="4"/>
            </w:tcBorders>
            <w:vAlign w:val="top"/>
          </w:tcPr>
          <w:p>
            <w:pPr>
              <w:jc w:val="center"/>
            </w:pPr>
            <w:r>
              <w:rPr>
                <w:color w:val="000000"/>
                <w:sz w:val="28"/>
              </w:rPr>
              <w:t>签订日期：</w:t>
            </w:r>
          </w:p>
        </w:tc>
        <w:tc>
          <w:tcPr>
            <w:tcW w:type="dxa" w:w="6021"/>
            <w:tcBorders>
              <w:top w:val="none" w:color="000000" w:sz="4"/>
              <w:left w:val="none" w:color="000000" w:sz="4"/>
              <w:bottom w:val="none" w:color="000000" w:sz="4"/>
              <w:right w:val="none" w:color="000000" w:sz="4"/>
            </w:tcBorders>
            <w:vAlign w:val="top"/>
          </w:tcPr>
          <w:p>
            <w:pPr>
              <w:jc w:val="left"/>
            </w:pPr>
            <w:r>
              <w:rPr>
                <w:sz w:val="19"/>
              </w:rPr>
              <w:t xml:space="preserve">       </w:t>
            </w:r>
            <w:r>
              <w:rPr>
                <w:color w:val="000000"/>
                <w:sz w:val="28"/>
              </w:rPr>
              <w:t>年</w:t>
            </w:r>
            <w:r>
              <w:rPr>
                <w:sz w:val="19"/>
              </w:rPr>
              <w:t xml:space="preserve">   </w:t>
            </w:r>
            <w:r>
              <w:rPr>
                <w:color w:val="000000"/>
                <w:sz w:val="28"/>
              </w:rPr>
              <w:t>月</w:t>
            </w:r>
            <w:r>
              <w:rPr>
                <w:sz w:val="19"/>
              </w:rPr>
              <w:t xml:space="preserve">    </w:t>
            </w:r>
            <w:r>
              <w:rPr>
                <w:color w:val="000000"/>
                <w:sz w:val="28"/>
              </w:rPr>
              <w:t>日</w:t>
            </w:r>
            <w:r>
              <w:rPr>
                <w:color w:val="000000"/>
                <w:sz w:val="28"/>
              </w:rPr>
              <w:t xml:space="preserve">       </w:t>
            </w:r>
          </w:p>
        </w:tc>
      </w:tr>
    </w:tbl>
    <w:p>
      <w:pPr>
        <w:jc w:val="center"/>
      </w:pPr>
    </w:p>
    <w:p>
      <w:pPr>
        <w:jc w:val="center"/>
      </w:pPr>
    </w:p>
    <w:p>
      <w:pPr>
        <w:jc w:val="center"/>
      </w:pPr>
    </w:p>
    <w:p>
      <w:pPr>
        <w:jc w:val="center"/>
      </w:pPr>
    </w:p>
    <w:p>
      <w:pPr>
        <w:jc w:val="center"/>
      </w:pPr>
      <w:r>
        <w:rPr>
          <w:b/>
          <w:color w:val="000000"/>
          <w:sz w:val="44"/>
        </w:rPr>
        <w:t>佛山市政府采购项目合同书</w:t>
      </w:r>
    </w:p>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vAlign w:val="top"/>
          </w:tcPr>
          <w:p>
            <w:r>
              <w:rPr>
                <w:b/>
                <w:color w:val="000000"/>
                <w:sz w:val="21"/>
              </w:rPr>
              <w:t>项目名称：</w:t>
            </w:r>
          </w:p>
        </w:tc>
        <w:tc>
          <w:tcPr>
            <w:tcW w:type="dxa" w:w="6671"/>
            <w:tcBorders>
              <w:top w:val="none" w:color="000000" w:sz="4"/>
              <w:left w:val="none" w:color="000000" w:sz="4"/>
              <w:bottom w:val="none" w:color="000000" w:sz="4"/>
              <w:right w:val="none" w:color="000000" w:sz="4"/>
            </w:tcBorders>
            <w:vAlign w:val="top"/>
          </w:tcPr>
          <w:p>
            <w:pPr>
              <w:jc w:val="left"/>
            </w:pPr>
            <w:r>
              <w:rPr>
                <w:color w:val="000000"/>
                <w:sz w:val="21"/>
                <w:u w:val="single"/>
              </w:rPr>
              <w:t>南庄镇市容环境管理文明劝导外包服务（</w:t>
            </w:r>
            <w:r>
              <w:rPr>
                <w:color w:val="000000"/>
                <w:sz w:val="21"/>
                <w:u w:val="single"/>
              </w:rPr>
              <w:t>2023年）采购项目</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项目编号：</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XY0123066</w:t>
            </w:r>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甲</w:t>
            </w:r>
            <w:r>
              <w:rPr>
                <w:b/>
                <w:color w:val="000000"/>
                <w:sz w:val="21"/>
              </w:rPr>
              <w:t xml:space="preserve">   </w:t>
            </w:r>
            <w:r>
              <w:rPr>
                <w:b/>
                <w:color w:val="000000"/>
                <w:sz w:val="21"/>
              </w:rPr>
              <w:t>方：</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佛山市禅城区南庄镇综合行政执法办公室（佛山市禅城区南</w:t>
            </w:r>
          </w:p>
          <w:p>
            <w:r>
              <w:rPr>
                <w:color w:val="000000"/>
                <w:sz w:val="21"/>
                <w:u w:val="single"/>
              </w:rPr>
              <w:t>庄镇综合行政执法队）</w:t>
            </w:r>
            <w:r>
              <w:rPr>
                <w:sz w:val="19"/>
                <w:u w:val="single"/>
              </w:rPr>
              <w:t xml:space="preserve"> </w:t>
            </w:r>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乙</w:t>
            </w:r>
            <w:r>
              <w:rPr>
                <w:b/>
                <w:color w:val="000000"/>
                <w:sz w:val="21"/>
              </w:rPr>
              <w:t xml:space="preserve">   </w:t>
            </w:r>
            <w:r>
              <w:rPr>
                <w:b/>
                <w:color w:val="000000"/>
                <w:sz w:val="21"/>
              </w:rPr>
              <w:t>方：</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（中标</w:t>
            </w:r>
            <w:r>
              <w:rPr>
                <w:color w:val="000000"/>
                <w:sz w:val="21"/>
                <w:u w:val="single"/>
              </w:rPr>
              <w:t xml:space="preserve">/成交供应商）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合同性质：</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本合同为</w:t>
            </w:r>
            <w:r>
              <w:rPr>
                <w:color w:val="000000"/>
                <w:sz w:val="21"/>
                <w:u w:val="single"/>
              </w:rPr>
              <w:t>小微</w:t>
            </w:r>
            <w:r>
              <w:rPr>
                <w:color w:val="000000"/>
                <w:sz w:val="21"/>
                <w:u w:val="single"/>
              </w:rPr>
              <w:t>企业预留合同</w:t>
            </w:r>
            <w:r>
              <w:rPr>
                <w:sz w:val="19"/>
                <w:u w:val="single"/>
              </w:rPr>
              <w:t xml:space="preserve">                            </w:t>
            </w:r>
          </w:p>
        </w:tc>
      </w:tr>
    </w:tbl>
    <w:p/>
    <w:p>
      <w:pPr>
        <w:ind w:firstLine="420"/>
      </w:pPr>
      <w:r>
        <w:rPr>
          <w:color w:val="000000"/>
          <w:sz w:val="21"/>
        </w:rPr>
        <w:t>根据《中华人民共和国政府采购法》</w:t>
      </w:r>
      <w:r>
        <w:rPr>
          <w:color w:val="000000"/>
          <w:sz w:val="21"/>
        </w:rPr>
        <w:t>、</w:t>
      </w:r>
      <w:r>
        <w:rPr>
          <w:color w:val="000000"/>
          <w:sz w:val="21"/>
        </w:rPr>
        <w:t>《中华人民共和国民法典》和本项目</w:t>
      </w:r>
      <w:r>
        <w:rPr>
          <w:color w:val="000000"/>
          <w:sz w:val="21"/>
        </w:rPr>
        <w:t>竞争性磋商文件</w:t>
      </w:r>
      <w:r>
        <w:rPr>
          <w:color w:val="000000"/>
          <w:sz w:val="21"/>
        </w:rPr>
        <w:t>的要求，</w:t>
      </w:r>
      <w:r>
        <w:rPr>
          <w:color w:val="000000"/>
          <w:sz w:val="21"/>
        </w:rPr>
        <w:t>经双方协商，</w:t>
      </w:r>
      <w:r>
        <w:rPr>
          <w:color w:val="000000"/>
          <w:sz w:val="21"/>
        </w:rPr>
        <w:t>本着平等互利和诚实信用的原则，</w:t>
      </w:r>
      <w:r>
        <w:rPr>
          <w:color w:val="000000"/>
          <w:sz w:val="21"/>
        </w:rPr>
        <w:t>一致同意签订本合同如下。</w:t>
      </w:r>
    </w:p>
    <w:p>
      <w:r>
        <w:rPr>
          <w:b/>
          <w:color w:val="000000"/>
          <w:sz w:val="21"/>
        </w:rPr>
        <w:t>一、基本合同条款一览表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1"/>
        <w:gridCol w:w="1133"/>
        <w:gridCol w:w="6502"/>
      </w:tblGrid>
      <w:tr>
        <w:tc>
          <w:tcPr>
            <w:tcW w:type="dxa" w:w="671"/>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133"/>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6502"/>
            <w:tcBorders>
              <w:top w:val="single" w:color="000000" w:sz="4"/>
              <w:left w:val="none" w:color="000000" w:sz="4"/>
              <w:bottom w:val="single" w:color="000000" w:sz="4"/>
              <w:right w:val="single" w:color="000000" w:sz="4"/>
            </w:tcBorders>
            <w:vAlign w:val="top"/>
          </w:tcPr>
          <w:p>
            <w:pPr>
              <w:jc w:val="center"/>
            </w:pPr>
            <w:r>
              <w:rPr>
                <w:b/>
                <w:color w:val="000000"/>
                <w:sz w:val="21"/>
              </w:rPr>
              <w:t>内</w:t>
            </w:r>
            <w:r>
              <w:rPr>
                <w:b/>
                <w:color w:val="000000"/>
                <w:sz w:val="21"/>
              </w:rPr>
              <w:t xml:space="preserve"> </w:t>
            </w:r>
            <w:r>
              <w:rPr>
                <w:b/>
                <w:color w:val="000000"/>
                <w:sz w:val="21"/>
              </w:rPr>
              <w:t>容</w:t>
            </w:r>
          </w:p>
        </w:tc>
      </w:tr>
      <w:tr>
        <w:tc>
          <w:tcPr>
            <w:tcW w:type="dxa" w:w="671"/>
            <w:tcBorders>
              <w:top w:val="none" w:color="000000" w:sz="4"/>
              <w:left w:val="single" w:color="000000" w:sz="4"/>
              <w:bottom w:val="single" w:color="000000" w:sz="4"/>
              <w:right w:val="single" w:color="000000" w:sz="4"/>
            </w:tcBorders>
            <w:vAlign w:val="top"/>
          </w:tcPr>
          <w:p>
            <w:pPr>
              <w:jc w:val="center"/>
            </w:pPr>
            <w:r>
              <w:rPr>
                <w:sz w:val="19"/>
              </w:rPr>
              <w:t>1.</w:t>
            </w:r>
          </w:p>
        </w:tc>
        <w:tc>
          <w:tcPr>
            <w:tcW w:type="dxa" w:w="1133"/>
            <w:tcBorders>
              <w:top w:val="none" w:color="000000" w:sz="4"/>
              <w:left w:val="none" w:color="000000" w:sz="4"/>
              <w:bottom w:val="single" w:color="000000" w:sz="4"/>
              <w:right w:val="single" w:color="000000" w:sz="4"/>
            </w:tcBorders>
            <w:vAlign w:val="top"/>
          </w:tcPr>
          <w:p>
            <w:pPr>
              <w:jc w:val="center"/>
            </w:pPr>
            <w:r>
              <w:rPr>
                <w:b/>
                <w:color w:val="000000"/>
                <w:sz w:val="21"/>
              </w:rPr>
              <w:t>合同总额</w:t>
            </w:r>
          </w:p>
        </w:tc>
        <w:tc>
          <w:tcPr>
            <w:tcW w:type="dxa" w:w="6502"/>
            <w:tcBorders>
              <w:top w:val="none" w:color="000000" w:sz="4"/>
              <w:left w:val="none" w:color="000000" w:sz="4"/>
              <w:bottom w:val="single" w:color="000000" w:sz="4"/>
              <w:right w:val="single" w:color="000000" w:sz="4"/>
            </w:tcBorders>
            <w:vAlign w:val="top"/>
          </w:tcPr>
          <w:p>
            <w:r>
              <w:rPr>
                <w:color w:val="000000"/>
                <w:sz w:val="21"/>
              </w:rPr>
              <w:t>人民币</w:t>
            </w:r>
            <w:r>
              <w:rPr>
                <w:color w:val="000000"/>
                <w:sz w:val="21"/>
              </w:rPr>
              <w:t xml:space="preserve"> </w:t>
            </w:r>
            <w:r>
              <w:rPr>
                <w:color w:val="000000"/>
                <w:sz w:val="21"/>
              </w:rPr>
              <w:t>小写：</w:t>
            </w:r>
            <w:r>
              <w:rPr>
                <w:sz w:val="19"/>
                <w:u w:val="single"/>
              </w:rPr>
              <w:t xml:space="preserve">             </w:t>
            </w:r>
            <w:r>
              <w:rPr>
                <w:color w:val="000000"/>
                <w:sz w:val="21"/>
              </w:rPr>
              <w:t>元；</w:t>
            </w:r>
          </w:p>
          <w:p>
            <w:r>
              <w:rPr>
                <w:color w:val="000000"/>
                <w:sz w:val="21"/>
              </w:rPr>
              <w:t>大写：</w:t>
            </w:r>
            <w:r>
              <w:rPr>
                <w:sz w:val="19"/>
                <w:u w:val="single"/>
              </w:rPr>
              <w:t xml:space="preserve">                          </w:t>
            </w:r>
          </w:p>
        </w:tc>
      </w:tr>
      <w:tr>
        <w:tc>
          <w:tcPr>
            <w:tcW w:type="dxa" w:w="671"/>
            <w:tcBorders>
              <w:top w:val="none" w:color="000000" w:sz="4"/>
              <w:left w:val="single" w:color="000000" w:sz="4"/>
              <w:bottom w:val="single" w:color="000000" w:sz="4"/>
              <w:right w:val="single" w:color="000000" w:sz="4"/>
            </w:tcBorders>
            <w:vAlign w:val="top"/>
          </w:tcPr>
          <w:p>
            <w:pPr>
              <w:numPr>
                <w:ilvl w:val="0"/>
                <w:numId w:val="1"/>
              </w:numPr>
              <w:jc w:val="center"/>
            </w:pPr>
          </w:p>
        </w:tc>
        <w:tc>
          <w:tcPr>
            <w:tcW w:type="dxa" w:w="1133"/>
            <w:tcBorders>
              <w:top w:val="none" w:color="000000" w:sz="4"/>
              <w:left w:val="none" w:color="000000" w:sz="4"/>
              <w:bottom w:val="single" w:color="000000" w:sz="4"/>
              <w:right w:val="single" w:color="000000" w:sz="4"/>
            </w:tcBorders>
            <w:vAlign w:val="top"/>
          </w:tcPr>
          <w:p>
            <w:pPr>
              <w:jc w:val="center"/>
            </w:pPr>
            <w:r>
              <w:rPr>
                <w:b/>
                <w:color w:val="000000"/>
                <w:sz w:val="21"/>
              </w:rPr>
              <w:t>合同总额内容</w:t>
            </w:r>
          </w:p>
        </w:tc>
        <w:tc>
          <w:tcPr>
            <w:tcW w:type="dxa" w:w="6502"/>
            <w:tcBorders>
              <w:top w:val="none" w:color="000000" w:sz="4"/>
              <w:left w:val="none" w:color="000000" w:sz="4"/>
              <w:bottom w:val="single" w:color="000000" w:sz="4"/>
              <w:right w:val="single" w:color="000000" w:sz="4"/>
            </w:tcBorders>
            <w:vAlign w:val="top"/>
          </w:tcPr>
          <w:p>
            <w:pPr>
              <w:jc w:val="both"/>
            </w:pPr>
            <w:r>
              <w:rPr>
                <w:sz w:val="21"/>
              </w:rPr>
              <w:t>本项目为总价包干，乙方的报价不得超过本项目总的采购预算，报价包括但不限于：人员成本费用、管理费、培训费、主次干道文明劝导费用、核心商圈和重点村居片区文明劝导费用、村级属地文明劝导费用、装备配置费用、税费、合理利润、风险费用、可预见与不可预见费等完成本项目所需的一切费用。所有价格均应为人民币，金额单位为元。费用说明：</w:t>
            </w:r>
            <w:r>
              <w:rPr>
                <w:sz w:val="21"/>
              </w:rPr>
              <w:t>1</w:t>
            </w:r>
            <w:r>
              <w:rPr>
                <w:sz w:val="21"/>
              </w:rPr>
              <w:t>）人员成本费用：人员工资、社会保险、人身意外险、福利费、办公费、各类补贴费用等；</w:t>
            </w:r>
            <w:r>
              <w:rPr>
                <w:sz w:val="21"/>
              </w:rPr>
              <w:t>2</w:t>
            </w:r>
            <w:r>
              <w:rPr>
                <w:sz w:val="21"/>
              </w:rPr>
              <w:t>）装备配置费用：人员办公设备车辆停放相关物资存放场地、制式服装、肩灯、马甲反光衣、现场记录仪、汽车、电动自行车和信息系统接入开发模块等以及上述设置在服务期内的损耗；</w:t>
            </w:r>
            <w:r>
              <w:rPr>
                <w:sz w:val="21"/>
              </w:rPr>
              <w:t>3</w:t>
            </w:r>
            <w:r>
              <w:rPr>
                <w:sz w:val="21"/>
              </w:rPr>
              <w:t>）培训费：一切专业培训；</w:t>
            </w:r>
            <w:r>
              <w:rPr>
                <w:sz w:val="21"/>
              </w:rPr>
              <w:t>4</w:t>
            </w:r>
            <w:r>
              <w:rPr>
                <w:sz w:val="21"/>
              </w:rPr>
              <w:t>）管理费：一切业务费用。</w:t>
            </w:r>
            <w:r>
              <w:rPr>
                <w:sz w:val="21"/>
              </w:rPr>
              <w:t>5</w:t>
            </w:r>
            <w:r>
              <w:rPr>
                <w:sz w:val="21"/>
              </w:rPr>
              <w:t>）</w:t>
            </w:r>
            <w:r>
              <w:rPr>
                <w:sz w:val="21"/>
              </w:rPr>
              <w:t>合理利润、风险费用、税费（全额含税发票）及合同实施过程中可预见和不可预见费用等。</w:t>
            </w:r>
          </w:p>
          <w:p>
            <w:pPr>
              <w:jc w:val="both"/>
            </w:pPr>
            <w:r>
              <w:rPr>
                <w:sz w:val="21"/>
              </w:rPr>
              <w:t>2</w:t>
            </w:r>
            <w:r>
              <w:rPr>
                <w:sz w:val="21"/>
              </w:rPr>
              <w:t>、在合同履行期间，对因物价变动、政策性工资调整或任何其他因素而导致的人员及其他费用的变化，均不予调整，即乙方不得以任何理由要求增加费用。</w:t>
            </w:r>
          </w:p>
          <w:p>
            <w:pPr>
              <w:jc w:val="both"/>
            </w:pPr>
            <w:r>
              <w:rPr>
                <w:sz w:val="21"/>
              </w:rPr>
              <w:t>3</w:t>
            </w:r>
            <w:r>
              <w:rPr>
                <w:sz w:val="21"/>
              </w:rPr>
              <w:t>、乙方必须自行考虑本项目在实施期间的一切可能发生的费用。在合同执行过程中，甲方将不再另行支付与本项目相关的任何费用（非本项目要求的其他内容除外）。</w:t>
            </w:r>
          </w:p>
        </w:tc>
      </w:tr>
      <w:tr>
        <w:tc>
          <w:tcPr>
            <w:tcW w:type="dxa" w:w="671"/>
            <w:tcBorders>
              <w:top w:val="none" w:color="000000" w:sz="4"/>
              <w:left w:val="single" w:color="000000" w:sz="4"/>
              <w:bottom w:val="single" w:color="000000" w:sz="4"/>
              <w:right w:val="single" w:color="000000" w:sz="4"/>
            </w:tcBorders>
            <w:vAlign w:val="top"/>
          </w:tcPr>
          <w:p>
            <w:pPr>
              <w:numPr>
                <w:ilvl w:val="0"/>
                <w:numId w:val="1"/>
              </w:numPr>
              <w:jc w:val="center"/>
            </w:pPr>
          </w:p>
        </w:tc>
        <w:tc>
          <w:tcPr>
            <w:tcW w:type="dxa" w:w="1133"/>
            <w:tcBorders>
              <w:top w:val="none" w:color="000000" w:sz="4"/>
              <w:left w:val="none" w:color="000000" w:sz="4"/>
              <w:bottom w:val="single" w:color="000000" w:sz="4"/>
              <w:right w:val="single" w:color="000000" w:sz="4"/>
            </w:tcBorders>
            <w:vAlign w:val="top"/>
          </w:tcPr>
          <w:p>
            <w:pPr>
              <w:jc w:val="center"/>
            </w:pPr>
            <w:r>
              <w:rPr>
                <w:b/>
                <w:color w:val="000000"/>
                <w:sz w:val="21"/>
              </w:rPr>
              <w:t>合同总额费用构成比例</w:t>
            </w:r>
          </w:p>
        </w:tc>
        <w:tc>
          <w:tcPr>
            <w:tcW w:type="dxa" w:w="6502"/>
            <w:tcBorders>
              <w:top w:val="none" w:color="000000" w:sz="4"/>
              <w:left w:val="none" w:color="000000" w:sz="4"/>
              <w:bottom w:val="single" w:color="000000" w:sz="4"/>
              <w:right w:val="single" w:color="000000" w:sz="4"/>
            </w:tcBorders>
            <w:vAlign w:val="top"/>
          </w:tcPr>
          <w:p>
            <w:r>
              <w:rPr>
                <w:sz w:val="21"/>
              </w:rPr>
              <w:t>本项目费用构成比例如下：</w:t>
            </w:r>
          </w:p>
          <w:tbl>
            <w:tblPr>
              <w:tblBorders>
                <w:top w:val="none" w:color="000000" w:sz="4"/>
                <w:left w:val="none" w:color="000000" w:sz="4"/>
                <w:bottom w:val="none" w:color="000000" w:sz="4"/>
                <w:right w:val="none" w:color="000000" w:sz="4"/>
                <w:insideH w:val="none"/>
                <w:insideV w:val="none"/>
              </w:tblBorders>
            </w:tblPr>
            <w:tblGrid>
              <w:gridCol w:w="1067"/>
              <w:gridCol w:w="3371"/>
              <w:gridCol w:w="1849"/>
            </w:tblGrid>
            <w:tr>
              <w:tc>
                <w:tcPr>
                  <w:tcW w:type="dxa" w:w="1067"/>
                  <w:vMerge w:val="restart"/>
                  <w:tcBorders>
                    <w:top w:val="single" w:color="000000" w:sz="4"/>
                    <w:left w:val="single" w:color="000000" w:sz="4"/>
                    <w:bottom w:val="none" w:color="000000" w:sz="4"/>
                    <w:right w:val="single" w:color="000000" w:sz="4"/>
                  </w:tcBorders>
                  <w:vAlign w:val="top"/>
                </w:tcPr>
                <w:p>
                  <w:pPr>
                    <w:jc w:val="center"/>
                  </w:pPr>
                  <w:r>
                    <w:rPr>
                      <w:color w:val="000000"/>
                      <w:sz w:val="21"/>
                    </w:rPr>
                    <w:t>序号</w:t>
                  </w:r>
                </w:p>
              </w:tc>
              <w:tc>
                <w:tcPr>
                  <w:tcW w:type="dxa" w:w="3371"/>
                  <w:vMerge w:val="restart"/>
                  <w:tcBorders>
                    <w:top w:val="single" w:color="000000" w:sz="4"/>
                    <w:left w:val="none" w:color="000000" w:sz="4"/>
                    <w:bottom w:val="none" w:color="000000" w:sz="4"/>
                    <w:right w:val="single" w:color="000000" w:sz="4"/>
                  </w:tcBorders>
                  <w:vAlign w:val="top"/>
                </w:tcPr>
                <w:p>
                  <w:pPr>
                    <w:jc w:val="center"/>
                  </w:pPr>
                  <w:r>
                    <w:rPr>
                      <w:color w:val="000000"/>
                      <w:sz w:val="21"/>
                    </w:rPr>
                    <w:t>分项名称</w:t>
                  </w:r>
                </w:p>
              </w:tc>
              <w:tc>
                <w:tcPr>
                  <w:tcW w:type="dxa" w:w="1849"/>
                  <w:vMerge w:val="restart"/>
                  <w:tcBorders>
                    <w:top w:val="single" w:color="000000" w:sz="4"/>
                    <w:left w:val="none" w:color="000000" w:sz="4"/>
                    <w:bottom w:val="none" w:color="000000" w:sz="4"/>
                    <w:right w:val="single" w:color="000000" w:sz="4"/>
                  </w:tcBorders>
                  <w:vAlign w:val="top"/>
                </w:tcPr>
                <w:p>
                  <w:pPr>
                    <w:jc w:val="center"/>
                  </w:pPr>
                  <w:r>
                    <w:rPr>
                      <w:color w:val="000000"/>
                      <w:sz w:val="21"/>
                    </w:rPr>
                    <w:t>占比</w:t>
                  </w:r>
                </w:p>
              </w:tc>
            </w:tr>
            <w:tr/>
            <w:tr>
              <w:tc>
                <w:tcPr>
                  <w:tcW w:type="dxa" w:w="1067"/>
                  <w:tcBorders>
                    <w:top w:val="single" w:color="000000" w:sz="4"/>
                    <w:left w:val="single" w:color="000000" w:sz="4"/>
                    <w:bottom w:val="single" w:color="000000" w:sz="4"/>
                    <w:right w:val="single" w:color="000000" w:sz="4"/>
                  </w:tcBorders>
                  <w:vAlign w:val="top"/>
                </w:tcPr>
                <w:p>
                  <w:pPr>
                    <w:jc w:val="center"/>
                  </w:pPr>
                  <w:r>
                    <w:rPr>
                      <w:color w:val="000000"/>
                      <w:sz w:val="21"/>
                    </w:rPr>
                    <w:t>1</w:t>
                  </w:r>
                </w:p>
              </w:tc>
              <w:tc>
                <w:tcPr>
                  <w:tcW w:type="dxa" w:w="3371"/>
                  <w:tcBorders>
                    <w:top w:val="single" w:color="000000" w:sz="4"/>
                    <w:left w:val="none" w:color="000000" w:sz="4"/>
                    <w:bottom w:val="single" w:color="000000" w:sz="4"/>
                    <w:right w:val="single" w:color="000000" w:sz="4"/>
                  </w:tcBorders>
                  <w:vAlign w:val="top"/>
                </w:tcPr>
                <w:p>
                  <w:pPr>
                    <w:jc w:val="center"/>
                  </w:pPr>
                  <w:r>
                    <w:rPr>
                      <w:color w:val="000000"/>
                      <w:sz w:val="21"/>
                    </w:rPr>
                    <w:t>项目负责人（</w:t>
                  </w:r>
                  <w:r>
                    <w:rPr>
                      <w:color w:val="000000"/>
                      <w:sz w:val="21"/>
                    </w:rPr>
                    <w:t>1人</w:t>
                  </w:r>
                  <w:r>
                    <w:rPr>
                      <w:color w:val="000000"/>
                      <w:sz w:val="21"/>
                    </w:rPr>
                    <w:t>）</w:t>
                  </w:r>
                </w:p>
              </w:tc>
              <w:tc>
                <w:tcPr>
                  <w:tcW w:type="dxa" w:w="1849"/>
                  <w:tcBorders>
                    <w:top w:val="single" w:color="000000" w:sz="4"/>
                    <w:left w:val="none" w:color="000000" w:sz="4"/>
                    <w:bottom w:val="single" w:color="000000" w:sz="4"/>
                    <w:right w:val="single" w:color="000000" w:sz="4"/>
                  </w:tcBorders>
                  <w:vAlign w:val="top"/>
                </w:tcPr>
                <w:p>
                  <w:pPr>
                    <w:jc w:val="center"/>
                  </w:pPr>
                  <w:r>
                    <w:rPr>
                      <w:color w:val="000000"/>
                      <w:sz w:val="21"/>
                    </w:rPr>
                    <w:t>5.62%</w:t>
                  </w:r>
                </w:p>
              </w:tc>
            </w:tr>
            <w:tr>
              <w:tc>
                <w:tcPr>
                  <w:tcW w:type="dxa" w:w="1067"/>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3371"/>
                  <w:tcBorders>
                    <w:top w:val="none" w:color="000000" w:sz="4"/>
                    <w:left w:val="none" w:color="000000" w:sz="4"/>
                    <w:bottom w:val="single" w:color="000000" w:sz="4"/>
                    <w:right w:val="single" w:color="000000" w:sz="4"/>
                  </w:tcBorders>
                  <w:vAlign w:val="top"/>
                </w:tcPr>
                <w:p>
                  <w:pPr>
                    <w:jc w:val="center"/>
                  </w:pPr>
                  <w:r>
                    <w:rPr>
                      <w:color w:val="000000"/>
                      <w:sz w:val="21"/>
                    </w:rPr>
                    <w:t>项目</w:t>
                  </w:r>
                  <w:r>
                    <w:rPr>
                      <w:color w:val="000000"/>
                      <w:sz w:val="21"/>
                    </w:rPr>
                    <w:t>组长（</w:t>
                  </w:r>
                  <w:r>
                    <w:rPr>
                      <w:color w:val="000000"/>
                      <w:sz w:val="21"/>
                    </w:rPr>
                    <w:t>2人</w:t>
                  </w:r>
                  <w:r>
                    <w:rPr>
                      <w:color w:val="000000"/>
                      <w:sz w:val="21"/>
                    </w:rPr>
                    <w:t>）</w:t>
                  </w:r>
                </w:p>
              </w:tc>
              <w:tc>
                <w:tcPr>
                  <w:tcW w:type="dxa" w:w="1849"/>
                  <w:tcBorders>
                    <w:top w:val="none" w:color="000000" w:sz="4"/>
                    <w:left w:val="none" w:color="000000" w:sz="4"/>
                    <w:bottom w:val="single" w:color="000000" w:sz="4"/>
                    <w:right w:val="single" w:color="000000" w:sz="4"/>
                  </w:tcBorders>
                  <w:vAlign w:val="top"/>
                </w:tcPr>
                <w:p>
                  <w:pPr>
                    <w:jc w:val="center"/>
                  </w:pPr>
                  <w:r>
                    <w:rPr>
                      <w:color w:val="000000"/>
                      <w:sz w:val="21"/>
                    </w:rPr>
                    <w:t>9.57%</w:t>
                  </w:r>
                </w:p>
              </w:tc>
            </w:tr>
            <w:tr>
              <w:tc>
                <w:tcPr>
                  <w:tcW w:type="dxa" w:w="1067"/>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3371"/>
                  <w:tcBorders>
                    <w:top w:val="none" w:color="000000" w:sz="4"/>
                    <w:left w:val="none" w:color="000000" w:sz="4"/>
                    <w:bottom w:val="single" w:color="000000" w:sz="4"/>
                    <w:right w:val="single" w:color="000000" w:sz="4"/>
                  </w:tcBorders>
                  <w:vAlign w:val="top"/>
                </w:tcPr>
                <w:p>
                  <w:pPr>
                    <w:jc w:val="center"/>
                  </w:pPr>
                  <w:r>
                    <w:rPr>
                      <w:color w:val="000000"/>
                      <w:sz w:val="21"/>
                    </w:rPr>
                    <w:t>服务人员（</w:t>
                  </w:r>
                  <w:r>
                    <w:rPr>
                      <w:color w:val="000000"/>
                      <w:sz w:val="21"/>
                    </w:rPr>
                    <w:t>17人</w:t>
                  </w:r>
                  <w:r>
                    <w:rPr>
                      <w:color w:val="000000"/>
                      <w:sz w:val="21"/>
                    </w:rPr>
                    <w:t>）</w:t>
                  </w:r>
                </w:p>
              </w:tc>
              <w:tc>
                <w:tcPr>
                  <w:tcW w:type="dxa" w:w="1849"/>
                  <w:tcBorders>
                    <w:top w:val="none" w:color="000000" w:sz="4"/>
                    <w:left w:val="none" w:color="000000" w:sz="4"/>
                    <w:bottom w:val="single" w:color="000000" w:sz="4"/>
                    <w:right w:val="single" w:color="000000" w:sz="4"/>
                  </w:tcBorders>
                  <w:vAlign w:val="top"/>
                </w:tcPr>
                <w:p>
                  <w:pPr>
                    <w:jc w:val="center"/>
                  </w:pPr>
                  <w:r>
                    <w:rPr>
                      <w:color w:val="000000"/>
                      <w:sz w:val="21"/>
                    </w:rPr>
                    <w:t>70.79%</w:t>
                  </w:r>
                </w:p>
              </w:tc>
            </w:tr>
            <w:tr>
              <w:tc>
                <w:tcPr>
                  <w:tcW w:type="dxa" w:w="1067"/>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3371"/>
                  <w:tcBorders>
                    <w:top w:val="none" w:color="000000" w:sz="4"/>
                    <w:left w:val="none" w:color="000000" w:sz="4"/>
                    <w:bottom w:val="single" w:color="000000" w:sz="4"/>
                    <w:right w:val="single" w:color="000000" w:sz="4"/>
                  </w:tcBorders>
                  <w:vAlign w:val="top"/>
                </w:tcPr>
                <w:p>
                  <w:pPr>
                    <w:jc w:val="center"/>
                  </w:pPr>
                  <w:r>
                    <w:rPr>
                      <w:color w:val="000000"/>
                      <w:sz w:val="21"/>
                    </w:rPr>
                    <w:t>装备配置</w:t>
                  </w:r>
                </w:p>
              </w:tc>
              <w:tc>
                <w:tcPr>
                  <w:tcW w:type="dxa" w:w="1849"/>
                  <w:tcBorders>
                    <w:top w:val="none" w:color="000000" w:sz="4"/>
                    <w:left w:val="none" w:color="000000" w:sz="4"/>
                    <w:bottom w:val="single" w:color="000000" w:sz="4"/>
                    <w:right w:val="single" w:color="000000" w:sz="4"/>
                  </w:tcBorders>
                  <w:vAlign w:val="top"/>
                </w:tcPr>
                <w:p>
                  <w:pPr>
                    <w:jc w:val="center"/>
                  </w:pPr>
                  <w:r>
                    <w:rPr>
                      <w:color w:val="000000"/>
                      <w:sz w:val="21"/>
                    </w:rPr>
                    <w:t>14.02%</w:t>
                  </w:r>
                </w:p>
              </w:tc>
            </w:tr>
          </w:tbl>
          <w:p>
            <w:r>
              <w:rPr>
                <w:sz w:val="21"/>
              </w:rPr>
              <w:t>若乙方未按项目要求提供服务则按费用构成比例扣除对应服务费。</w:t>
            </w:r>
          </w:p>
        </w:tc>
      </w:tr>
      <w:tr>
        <w:tc>
          <w:tcPr>
            <w:tcW w:type="dxa" w:w="671"/>
            <w:tcBorders>
              <w:top w:val="none" w:color="000000" w:sz="4"/>
              <w:left w:val="single" w:color="000000" w:sz="4"/>
              <w:bottom w:val="single" w:color="000000" w:sz="4"/>
              <w:right w:val="single" w:color="000000" w:sz="4"/>
            </w:tcBorders>
            <w:vAlign w:val="top"/>
          </w:tcPr>
          <w:p>
            <w:pPr>
              <w:numPr>
                <w:ilvl w:val="0"/>
                <w:numId w:val="1"/>
              </w:numPr>
              <w:jc w:val="center"/>
            </w:pPr>
          </w:p>
        </w:tc>
        <w:tc>
          <w:tcPr>
            <w:tcW w:type="dxa" w:w="1133"/>
            <w:tcBorders>
              <w:top w:val="none" w:color="000000" w:sz="4"/>
              <w:left w:val="none" w:color="000000" w:sz="4"/>
              <w:bottom w:val="single" w:color="000000" w:sz="4"/>
              <w:right w:val="single" w:color="000000" w:sz="4"/>
            </w:tcBorders>
            <w:vAlign w:val="top"/>
          </w:tcPr>
          <w:p>
            <w:pPr>
              <w:jc w:val="center"/>
            </w:pPr>
            <w:r>
              <w:rPr>
                <w:b/>
                <w:color w:val="000000"/>
                <w:sz w:val="21"/>
              </w:rPr>
              <w:t>项目服务地点</w:t>
            </w:r>
          </w:p>
        </w:tc>
        <w:tc>
          <w:tcPr>
            <w:tcW w:type="dxa" w:w="6502"/>
            <w:tcBorders>
              <w:top w:val="none" w:color="000000" w:sz="4"/>
              <w:left w:val="none" w:color="000000" w:sz="4"/>
              <w:bottom w:val="single" w:color="000000" w:sz="4"/>
              <w:right w:val="single" w:color="000000" w:sz="4"/>
            </w:tcBorders>
            <w:vAlign w:val="top"/>
          </w:tcPr>
          <w:p>
            <w:pPr>
              <w:jc w:val="left"/>
            </w:pPr>
            <w:r>
              <w:rPr>
                <w:color w:val="000000"/>
                <w:sz w:val="21"/>
              </w:rPr>
              <w:t>甲方（用户）指定地点。详细地址为：</w:t>
            </w:r>
            <w:r>
              <w:rPr>
                <w:color w:val="000000"/>
                <w:sz w:val="21"/>
              </w:rPr>
              <w:t>广东省佛山市禅城区</w:t>
            </w:r>
          </w:p>
        </w:tc>
      </w:tr>
      <w:tr>
        <w:tc>
          <w:tcPr>
            <w:tcW w:type="dxa" w:w="671"/>
            <w:tcBorders>
              <w:top w:val="none" w:color="000000" w:sz="4"/>
              <w:left w:val="single" w:color="000000" w:sz="4"/>
              <w:bottom w:val="single" w:color="000000" w:sz="4"/>
              <w:right w:val="single" w:color="000000" w:sz="4"/>
            </w:tcBorders>
            <w:vAlign w:val="top"/>
          </w:tcPr>
          <w:p>
            <w:pPr>
              <w:numPr>
                <w:ilvl w:val="0"/>
                <w:numId w:val="1"/>
              </w:numPr>
              <w:jc w:val="center"/>
            </w:pPr>
          </w:p>
        </w:tc>
        <w:tc>
          <w:tcPr>
            <w:tcW w:type="dxa" w:w="1133"/>
            <w:tcBorders>
              <w:top w:val="none" w:color="000000" w:sz="4"/>
              <w:left w:val="none" w:color="000000" w:sz="4"/>
              <w:bottom w:val="single" w:color="000000" w:sz="4"/>
              <w:right w:val="single" w:color="000000" w:sz="4"/>
            </w:tcBorders>
            <w:vAlign w:val="top"/>
          </w:tcPr>
          <w:p>
            <w:pPr>
              <w:jc w:val="center"/>
            </w:pPr>
            <w:r>
              <w:rPr>
                <w:b/>
                <w:color w:val="000000"/>
                <w:sz w:val="21"/>
              </w:rPr>
              <w:t>服务期</w:t>
            </w:r>
          </w:p>
        </w:tc>
        <w:tc>
          <w:tcPr>
            <w:tcW w:type="dxa" w:w="6502"/>
            <w:tcBorders>
              <w:top w:val="none" w:color="000000" w:sz="4"/>
              <w:left w:val="none" w:color="000000" w:sz="4"/>
              <w:bottom w:val="single" w:color="000000" w:sz="4"/>
              <w:right w:val="single" w:color="000000" w:sz="4"/>
            </w:tcBorders>
            <w:vAlign w:val="top"/>
          </w:tcPr>
          <w:p>
            <w:pPr>
              <w:jc w:val="left"/>
            </w:pPr>
            <w:r>
              <w:rPr>
                <w:sz w:val="21"/>
              </w:rPr>
              <w:t>合同生效</w:t>
            </w:r>
            <w:r>
              <w:rPr>
                <w:sz w:val="21"/>
              </w:rPr>
              <w:t>乙方</w:t>
            </w:r>
            <w:r>
              <w:rPr>
                <w:sz w:val="21"/>
              </w:rPr>
              <w:t>进场，经</w:t>
            </w:r>
            <w:r>
              <w:rPr>
                <w:sz w:val="21"/>
              </w:rPr>
              <w:t>甲方</w:t>
            </w:r>
            <w:r>
              <w:rPr>
                <w:sz w:val="21"/>
              </w:rPr>
              <w:t>验收条件符合后开始计算服务时间，服务时间为自起算之日起</w:t>
            </w:r>
            <w:r>
              <w:rPr>
                <w:sz w:val="21"/>
              </w:rPr>
              <w:t>365天。</w:t>
            </w:r>
          </w:p>
        </w:tc>
      </w:tr>
      <w:tr>
        <w:tc>
          <w:tcPr>
            <w:tcW w:type="dxa" w:w="671"/>
            <w:tcBorders>
              <w:top w:val="none" w:color="000000" w:sz="4"/>
              <w:left w:val="single" w:color="000000" w:sz="4"/>
              <w:bottom w:val="single" w:color="000000" w:sz="4"/>
              <w:right w:val="single" w:color="000000" w:sz="4"/>
            </w:tcBorders>
            <w:vAlign w:val="top"/>
          </w:tcPr>
          <w:p>
            <w:pPr>
              <w:numPr>
                <w:ilvl w:val="0"/>
                <w:numId w:val="1"/>
              </w:numPr>
              <w:jc w:val="center"/>
            </w:pPr>
          </w:p>
        </w:tc>
        <w:tc>
          <w:tcPr>
            <w:tcW w:type="dxa" w:w="1133"/>
            <w:tcBorders>
              <w:top w:val="none" w:color="000000" w:sz="4"/>
              <w:left w:val="none" w:color="000000" w:sz="4"/>
              <w:bottom w:val="single" w:color="000000" w:sz="4"/>
              <w:right w:val="single" w:color="000000" w:sz="4"/>
            </w:tcBorders>
            <w:vAlign w:val="top"/>
          </w:tcPr>
          <w:p>
            <w:pPr>
              <w:jc w:val="center"/>
            </w:pPr>
            <w:r>
              <w:rPr>
                <w:b/>
                <w:color w:val="000000"/>
                <w:sz w:val="21"/>
              </w:rPr>
              <w:t>合同签订方式及情况</w:t>
            </w:r>
          </w:p>
        </w:tc>
        <w:tc>
          <w:tcPr>
            <w:tcW w:type="dxa" w:w="6502"/>
            <w:tcBorders>
              <w:top w:val="none" w:color="000000" w:sz="4"/>
              <w:left w:val="none" w:color="000000" w:sz="4"/>
              <w:bottom w:val="single" w:color="000000" w:sz="4"/>
              <w:right w:val="single" w:color="000000" w:sz="4"/>
            </w:tcBorders>
            <w:vAlign w:val="top"/>
          </w:tcPr>
          <w:p>
            <w:r>
              <w:rPr>
                <w:color w:val="000000"/>
                <w:sz w:val="21"/>
              </w:rPr>
              <w:t>一次性签订本项目采购合同。</w:t>
            </w:r>
          </w:p>
        </w:tc>
      </w:tr>
      <w:tr>
        <w:tc>
          <w:tcPr>
            <w:tcW w:type="dxa" w:w="671"/>
            <w:tcBorders>
              <w:top w:val="none" w:color="000000" w:sz="4"/>
              <w:left w:val="single" w:color="000000" w:sz="4"/>
              <w:bottom w:val="single" w:color="000000" w:sz="4"/>
              <w:right w:val="single" w:color="000000" w:sz="4"/>
            </w:tcBorders>
            <w:vAlign w:val="top"/>
          </w:tcPr>
          <w:p>
            <w:pPr>
              <w:numPr>
                <w:ilvl w:val="0"/>
                <w:numId w:val="1"/>
              </w:numPr>
              <w:jc w:val="center"/>
            </w:pPr>
          </w:p>
        </w:tc>
        <w:tc>
          <w:tcPr>
            <w:tcW w:type="dxa" w:w="1133"/>
            <w:tcBorders>
              <w:top w:val="none" w:color="000000" w:sz="4"/>
              <w:left w:val="none" w:color="000000" w:sz="4"/>
              <w:bottom w:val="single" w:color="000000" w:sz="4"/>
              <w:right w:val="single" w:color="000000" w:sz="4"/>
            </w:tcBorders>
            <w:vAlign w:val="top"/>
          </w:tcPr>
          <w:p>
            <w:pPr>
              <w:jc w:val="center"/>
            </w:pPr>
            <w:r>
              <w:rPr>
                <w:b/>
                <w:color w:val="000000"/>
                <w:sz w:val="21"/>
              </w:rPr>
              <w:t>付款方式</w:t>
            </w:r>
          </w:p>
        </w:tc>
        <w:tc>
          <w:tcPr>
            <w:tcW w:type="dxa" w:w="6502"/>
            <w:tcBorders>
              <w:top w:val="none" w:color="000000" w:sz="4"/>
              <w:left w:val="none" w:color="000000" w:sz="4"/>
              <w:bottom w:val="single" w:color="000000" w:sz="4"/>
              <w:right w:val="single" w:color="000000" w:sz="4"/>
            </w:tcBorders>
            <w:vAlign w:val="top"/>
          </w:tcPr>
          <w:p>
            <w:pPr>
              <w:jc w:val="both"/>
            </w:pPr>
            <w:r>
              <w:rPr>
                <w:sz w:val="21"/>
              </w:rPr>
              <w:t>合同生效后，乙方向甲方按季度收取服务费用，每季度甲方验收合格收到乙方开具的合法发票后</w:t>
            </w:r>
            <w:r>
              <w:rPr>
                <w:sz w:val="21"/>
              </w:rPr>
              <w:t>15日内支付</w:t>
            </w:r>
            <w:r>
              <w:rPr>
                <w:sz w:val="21"/>
              </w:rPr>
              <w:t>上季度服务费用。验收不合格且须进行整改，整改合格后再支付该季度服务费用。每季度的服务费用是指合同金额除以</w:t>
            </w:r>
            <w:r>
              <w:rPr>
                <w:sz w:val="21"/>
              </w:rPr>
              <w:t>四个季度</w:t>
            </w:r>
            <w:r>
              <w:rPr>
                <w:sz w:val="21"/>
              </w:rPr>
              <w:t>所得出的金额再扣减应扣款项或应罚款项（如有）所得出的最终金额。</w:t>
            </w:r>
          </w:p>
        </w:tc>
      </w:tr>
      <w:tr>
        <w:tc>
          <w:tcPr>
            <w:tcW w:type="dxa" w:w="671"/>
            <w:tcBorders>
              <w:top w:val="none" w:color="000000" w:sz="4"/>
              <w:left w:val="single" w:color="000000" w:sz="4"/>
              <w:bottom w:val="single" w:color="000000" w:sz="4"/>
              <w:right w:val="single" w:color="000000" w:sz="4"/>
            </w:tcBorders>
            <w:vAlign w:val="top"/>
          </w:tcPr>
          <w:p>
            <w:pPr>
              <w:numPr>
                <w:ilvl w:val="0"/>
                <w:numId w:val="1"/>
              </w:numPr>
              <w:jc w:val="center"/>
            </w:pPr>
          </w:p>
        </w:tc>
        <w:tc>
          <w:tcPr>
            <w:tcW w:type="dxa" w:w="1133"/>
            <w:tcBorders>
              <w:top w:val="none" w:color="000000" w:sz="4"/>
              <w:left w:val="none" w:color="000000" w:sz="4"/>
              <w:bottom w:val="single" w:color="000000" w:sz="4"/>
              <w:right w:val="single" w:color="000000" w:sz="4"/>
            </w:tcBorders>
            <w:vAlign w:val="top"/>
          </w:tcPr>
          <w:p>
            <w:pPr>
              <w:jc w:val="center"/>
            </w:pPr>
            <w:r>
              <w:rPr>
                <w:b/>
                <w:color w:val="000000"/>
                <w:sz w:val="21"/>
              </w:rPr>
              <w:t>付款要求</w:t>
            </w:r>
          </w:p>
        </w:tc>
        <w:tc>
          <w:tcPr>
            <w:tcW w:type="dxa" w:w="6502"/>
            <w:tcBorders>
              <w:top w:val="none" w:color="000000" w:sz="4"/>
              <w:left w:val="none" w:color="000000" w:sz="4"/>
              <w:bottom w:val="single" w:color="000000" w:sz="4"/>
              <w:right w:val="single" w:color="000000" w:sz="4"/>
            </w:tcBorders>
            <w:vAlign w:val="top"/>
          </w:tcPr>
          <w:p>
            <w:r>
              <w:rPr>
                <w:sz w:val="21"/>
              </w:rPr>
              <w:t>乙方</w:t>
            </w:r>
            <w:r>
              <w:rPr>
                <w:sz w:val="21"/>
              </w:rPr>
              <w:t>凭以下有效文件与</w:t>
            </w:r>
            <w:r>
              <w:rPr>
                <w:sz w:val="21"/>
              </w:rPr>
              <w:t>甲方</w:t>
            </w:r>
            <w:r>
              <w:rPr>
                <w:sz w:val="21"/>
              </w:rPr>
              <w:t>结算：</w:t>
            </w:r>
          </w:p>
          <w:p>
            <w:r>
              <w:rPr>
                <w:sz w:val="21"/>
              </w:rPr>
              <w:t>（</w:t>
            </w:r>
            <w:r>
              <w:rPr>
                <w:sz w:val="21"/>
              </w:rPr>
              <w:t>1）</w:t>
            </w:r>
            <w:r>
              <w:rPr>
                <w:sz w:val="21"/>
              </w:rPr>
              <w:t>合同；</w:t>
            </w:r>
          </w:p>
          <w:p>
            <w:r>
              <w:rPr>
                <w:sz w:val="21"/>
              </w:rPr>
              <w:t>（</w:t>
            </w:r>
            <w:r>
              <w:rPr>
                <w:sz w:val="21"/>
              </w:rPr>
              <w:t>2）</w:t>
            </w:r>
            <w:r>
              <w:rPr>
                <w:sz w:val="21"/>
              </w:rPr>
              <w:t>乙方</w:t>
            </w:r>
            <w:r>
              <w:rPr>
                <w:sz w:val="21"/>
              </w:rPr>
              <w:t>开具的正式发票；</w:t>
            </w:r>
          </w:p>
          <w:p>
            <w:pPr>
              <w:jc w:val="both"/>
            </w:pPr>
            <w:r>
              <w:rPr>
                <w:sz w:val="21"/>
              </w:rPr>
              <w:t>（</w:t>
            </w:r>
            <w:r>
              <w:rPr>
                <w:sz w:val="21"/>
              </w:rPr>
              <w:t>3）</w:t>
            </w:r>
            <w:r>
              <w:rPr>
                <w:sz w:val="21"/>
              </w:rPr>
              <w:t>验收报告（加盖</w:t>
            </w:r>
            <w:r>
              <w:rPr>
                <w:sz w:val="21"/>
              </w:rPr>
              <w:t>甲方</w:t>
            </w:r>
            <w:r>
              <w:rPr>
                <w:sz w:val="21"/>
              </w:rPr>
              <w:t>公章</w:t>
            </w:r>
            <w:r>
              <w:rPr>
                <w:sz w:val="21"/>
              </w:rPr>
              <w:t>，</w:t>
            </w:r>
            <w:r>
              <w:rPr>
                <w:sz w:val="21"/>
              </w:rPr>
              <w:t>最后一期款项支付时提供</w:t>
            </w:r>
            <w:r>
              <w:rPr>
                <w:sz w:val="21"/>
              </w:rPr>
              <w:t>）；</w:t>
            </w:r>
          </w:p>
          <w:p>
            <w:pPr>
              <w:jc w:val="both"/>
            </w:pPr>
            <w:r>
              <w:rPr>
                <w:sz w:val="21"/>
              </w:rPr>
              <w:t>（</w:t>
            </w:r>
            <w:r>
              <w:rPr>
                <w:sz w:val="21"/>
              </w:rPr>
              <w:t>4）成交</w:t>
            </w:r>
            <w:r>
              <w:rPr>
                <w:sz w:val="21"/>
              </w:rPr>
              <w:t>通知书。</w:t>
            </w:r>
          </w:p>
          <w:p>
            <w:pPr>
              <w:jc w:val="left"/>
            </w:pPr>
            <w:r>
              <w:rPr>
                <w:sz w:val="21"/>
              </w:rPr>
              <w:t>乙方</w:t>
            </w:r>
            <w:r>
              <w:rPr>
                <w:sz w:val="21"/>
              </w:rPr>
              <w:t>收款时必须持有效发票与</w:t>
            </w:r>
            <w:r>
              <w:rPr>
                <w:sz w:val="21"/>
              </w:rPr>
              <w:t>甲方</w:t>
            </w:r>
            <w:r>
              <w:rPr>
                <w:sz w:val="21"/>
              </w:rPr>
              <w:t>结算。收款方、出具发票方、合同乙方均必须与</w:t>
            </w:r>
            <w:r>
              <w:rPr>
                <w:sz w:val="21"/>
              </w:rPr>
              <w:t>成交供应商</w:t>
            </w:r>
            <w:r>
              <w:rPr>
                <w:sz w:val="21"/>
              </w:rPr>
              <w:t>名称一致。</w:t>
            </w:r>
            <w:r>
              <w:rPr>
                <w:sz w:val="21"/>
              </w:rPr>
              <w:t>乙方</w:t>
            </w:r>
            <w:r>
              <w:rPr>
                <w:sz w:val="21"/>
              </w:rPr>
              <w:t>理解政府部门付款的相关程序，因</w:t>
            </w:r>
            <w:r>
              <w:rPr>
                <w:sz w:val="21"/>
              </w:rPr>
              <w:t>甲方</w:t>
            </w:r>
            <w:r>
              <w:rPr>
                <w:sz w:val="21"/>
              </w:rPr>
              <w:t>使用的是财政资金，</w:t>
            </w:r>
            <w:r>
              <w:rPr>
                <w:sz w:val="21"/>
              </w:rPr>
              <w:t>甲方</w:t>
            </w:r>
            <w:r>
              <w:rPr>
                <w:sz w:val="21"/>
              </w:rPr>
              <w:t>在前款规定的付款时间为向政府采购支付部门提出办理财政支付申请手续的时间（不含政府财政支付部门审核的时间），在规定时间内提出支付申请手续后即视为</w:t>
            </w:r>
            <w:r>
              <w:rPr>
                <w:sz w:val="21"/>
              </w:rPr>
              <w:t>甲方</w:t>
            </w:r>
            <w:r>
              <w:rPr>
                <w:sz w:val="21"/>
              </w:rPr>
              <w:t>已经按期支付。付款期间如因特殊情况需调整，由双方协商处理。</w:t>
            </w:r>
          </w:p>
        </w:tc>
      </w:tr>
      <w:tr>
        <w:tc>
          <w:tcPr>
            <w:tcW w:type="dxa" w:w="671"/>
            <w:tcBorders>
              <w:top w:val="none" w:color="000000" w:sz="4"/>
              <w:left w:val="single" w:color="000000" w:sz="4"/>
              <w:bottom w:val="single" w:color="000000" w:sz="4"/>
              <w:right w:val="single" w:color="000000" w:sz="4"/>
            </w:tcBorders>
            <w:vAlign w:val="top"/>
          </w:tcPr>
          <w:p>
            <w:pPr>
              <w:numPr>
                <w:ilvl w:val="0"/>
                <w:numId w:val="1"/>
              </w:numPr>
              <w:jc w:val="center"/>
            </w:pPr>
          </w:p>
        </w:tc>
        <w:tc>
          <w:tcPr>
            <w:tcW w:type="dxa" w:w="1133"/>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6502"/>
            <w:tcBorders>
              <w:top w:val="none" w:color="000000" w:sz="4"/>
              <w:left w:val="none" w:color="000000" w:sz="4"/>
              <w:bottom w:val="single" w:color="000000" w:sz="4"/>
              <w:right w:val="single" w:color="000000" w:sz="4"/>
            </w:tcBorders>
            <w:vAlign w:val="top"/>
          </w:tcPr>
          <w:p>
            <w:pPr>
              <w:jc w:val="both"/>
            </w:pPr>
            <w:r>
              <w:rPr>
                <w:sz w:val="21"/>
              </w:rPr>
              <w:t>1.</w:t>
            </w:r>
            <w:r>
              <w:rPr>
                <w:sz w:val="21"/>
              </w:rPr>
              <w:t>乙方</w:t>
            </w:r>
            <w:r>
              <w:rPr>
                <w:sz w:val="21"/>
              </w:rPr>
              <w:t>与</w:t>
            </w:r>
            <w:r>
              <w:rPr>
                <w:sz w:val="21"/>
              </w:rPr>
              <w:t>甲方</w:t>
            </w:r>
            <w:r>
              <w:rPr>
                <w:sz w:val="21"/>
              </w:rPr>
              <w:t>签订合同后</w:t>
            </w:r>
            <w:r>
              <w:rPr>
                <w:sz w:val="21"/>
              </w:rPr>
              <w:t>10日内，</w:t>
            </w:r>
            <w:r>
              <w:rPr>
                <w:sz w:val="21"/>
              </w:rPr>
              <w:t>乙方</w:t>
            </w:r>
            <w:r>
              <w:rPr>
                <w:sz w:val="21"/>
              </w:rPr>
              <w:t>以银行转账、支票、汇票、本票、保函、保单等非现金形式向</w:t>
            </w:r>
            <w:r>
              <w:rPr>
                <w:sz w:val="21"/>
              </w:rPr>
              <w:t>甲方</w:t>
            </w:r>
            <w:r>
              <w:rPr>
                <w:sz w:val="21"/>
              </w:rPr>
              <w:t>提交合同金额的</w:t>
            </w:r>
            <w:r>
              <w:rPr>
                <w:sz w:val="21"/>
              </w:rPr>
              <w:t>5</w:t>
            </w:r>
            <w:r>
              <w:rPr>
                <w:sz w:val="21"/>
              </w:rPr>
              <w:t>%作为履约保证金额。</w:t>
            </w:r>
            <w:r>
              <w:rPr>
                <w:sz w:val="21"/>
              </w:rPr>
              <w:t>乙方</w:t>
            </w:r>
            <w:r>
              <w:rPr>
                <w:sz w:val="21"/>
              </w:rPr>
              <w:t>未能在规定的时间内提交履约保证金，</w:t>
            </w:r>
            <w:r>
              <w:rPr>
                <w:sz w:val="21"/>
              </w:rPr>
              <w:t>甲方</w:t>
            </w:r>
            <w:r>
              <w:rPr>
                <w:sz w:val="21"/>
              </w:rPr>
              <w:t>有权单方面终止合同。</w:t>
            </w:r>
          </w:p>
          <w:p>
            <w:pPr>
              <w:jc w:val="both"/>
            </w:pPr>
            <w:r>
              <w:rPr>
                <w:sz w:val="21"/>
              </w:rPr>
              <w:t>2.</w:t>
            </w:r>
            <w:r>
              <w:rPr>
                <w:sz w:val="21"/>
              </w:rPr>
              <w:t>履约保证金的期限：从提供履约保证金之日起至本项目服务期结束之日止。</w:t>
            </w:r>
          </w:p>
          <w:p>
            <w:pPr>
              <w:jc w:val="both"/>
            </w:pPr>
            <w:r>
              <w:rPr>
                <w:sz w:val="21"/>
              </w:rPr>
              <w:t>3.</w:t>
            </w:r>
            <w:r>
              <w:rPr>
                <w:sz w:val="21"/>
              </w:rPr>
              <w:t>履约保证金扣除情形：如有违规违约行为或其他导致</w:t>
            </w:r>
            <w:r>
              <w:rPr>
                <w:sz w:val="21"/>
              </w:rPr>
              <w:t>甲方</w:t>
            </w:r>
            <w:r>
              <w:rPr>
                <w:sz w:val="21"/>
              </w:rPr>
              <w:t>经济损失的行为，</w:t>
            </w:r>
            <w:r>
              <w:rPr>
                <w:sz w:val="21"/>
              </w:rPr>
              <w:t>甲方</w:t>
            </w:r>
            <w:r>
              <w:rPr>
                <w:sz w:val="21"/>
              </w:rPr>
              <w:t>在</w:t>
            </w:r>
            <w:r>
              <w:rPr>
                <w:sz w:val="21"/>
              </w:rPr>
              <w:t>履约保证金扣除经济损失；履约保证金不足以弥补损失的，</w:t>
            </w:r>
            <w:r>
              <w:rPr>
                <w:sz w:val="21"/>
              </w:rPr>
              <w:t>乙方</w:t>
            </w:r>
            <w:r>
              <w:rPr>
                <w:sz w:val="21"/>
              </w:rPr>
              <w:t>须补足损失金额。</w:t>
            </w:r>
            <w:r>
              <w:rPr>
                <w:sz w:val="21"/>
              </w:rPr>
              <w:t>履约期间发生履约保证金扣除导致不足</w:t>
            </w:r>
            <w:r>
              <w:rPr>
                <w:sz w:val="21"/>
              </w:rPr>
              <w:t>合同金额的</w:t>
            </w:r>
            <w:r>
              <w:rPr>
                <w:sz w:val="21"/>
              </w:rPr>
              <w:t>5</w:t>
            </w:r>
            <w:r>
              <w:rPr>
                <w:sz w:val="21"/>
              </w:rPr>
              <w:t>%</w:t>
            </w:r>
            <w:r>
              <w:rPr>
                <w:sz w:val="21"/>
              </w:rPr>
              <w:t>，</w:t>
            </w:r>
            <w:r>
              <w:rPr>
                <w:sz w:val="21"/>
              </w:rPr>
              <w:t>乙方应及时补足。</w:t>
            </w:r>
          </w:p>
          <w:p>
            <w:pPr>
              <w:jc w:val="both"/>
            </w:pPr>
            <w:r>
              <w:rPr>
                <w:sz w:val="21"/>
              </w:rPr>
              <w:t>4.</w:t>
            </w:r>
            <w:r>
              <w:rPr>
                <w:sz w:val="21"/>
              </w:rPr>
              <w:t>履约保证金不予退还情形：本项目服务过程中造成重大安全事故或未履行投标承诺或违反合同规定等情况，</w:t>
            </w:r>
            <w:r>
              <w:rPr>
                <w:sz w:val="21"/>
              </w:rPr>
              <w:t>甲方</w:t>
            </w:r>
            <w:r>
              <w:rPr>
                <w:sz w:val="21"/>
              </w:rPr>
              <w:t>有权不予退还履约保证金并解除合同。</w:t>
            </w:r>
          </w:p>
          <w:p>
            <w:r>
              <w:rPr>
                <w:sz w:val="21"/>
              </w:rPr>
              <w:t>5</w:t>
            </w:r>
            <w:r>
              <w:rPr>
                <w:sz w:val="21"/>
              </w:rPr>
              <w:t>.</w:t>
            </w:r>
            <w:r>
              <w:rPr>
                <w:sz w:val="21"/>
              </w:rPr>
              <w:t>在履约验收完毕后</w:t>
            </w:r>
            <w:r>
              <w:rPr>
                <w:sz w:val="21"/>
              </w:rPr>
              <w:t>5</w:t>
            </w:r>
            <w:r>
              <w:rPr>
                <w:sz w:val="21"/>
              </w:rPr>
              <w:t>个工作日内，甲方无息退还履约保证金（如采用</w:t>
            </w:r>
            <w:r>
              <w:rPr>
                <w:sz w:val="21"/>
              </w:rPr>
              <w:t>保函、保单</w:t>
            </w:r>
            <w:r>
              <w:rPr>
                <w:sz w:val="21"/>
              </w:rPr>
              <w:t>形式提交履约保证金的，履约验收完毕后</w:t>
            </w:r>
            <w:r>
              <w:rPr>
                <w:sz w:val="21"/>
              </w:rPr>
              <w:t>保函、保单</w:t>
            </w:r>
            <w:r>
              <w:rPr>
                <w:sz w:val="21"/>
              </w:rPr>
              <w:t>相应失效）。</w:t>
            </w:r>
          </w:p>
          <w:p>
            <w:r>
              <w:rPr>
                <w:sz w:val="21"/>
              </w:rPr>
              <w:t>6.</w:t>
            </w:r>
            <w:r>
              <w:rPr>
                <w:sz w:val="21"/>
              </w:rPr>
              <w:t>因</w:t>
            </w:r>
            <w:r>
              <w:rPr>
                <w:sz w:val="21"/>
              </w:rPr>
              <w:t>甲方</w:t>
            </w:r>
            <w:r>
              <w:rPr>
                <w:sz w:val="21"/>
              </w:rPr>
              <w:t>原因逾期退还履约保证金的违约责任：每逾期一天，</w:t>
            </w:r>
            <w:r>
              <w:rPr>
                <w:sz w:val="21"/>
              </w:rPr>
              <w:t>甲方</w:t>
            </w:r>
            <w:r>
              <w:rPr>
                <w:sz w:val="21"/>
              </w:rPr>
              <w:t>支付履约保证金的千分之五作违约金，以此类推至违约金达到履约保证金的百分之五。</w:t>
            </w:r>
          </w:p>
        </w:tc>
      </w:tr>
    </w:tbl>
    <w:p>
      <w:r>
        <w:rPr>
          <w:b/>
          <w:color w:val="000000"/>
          <w:sz w:val="21"/>
        </w:rPr>
        <w:t>二、服务内容</w:t>
      </w:r>
    </w:p>
    <w:p>
      <w:pPr>
        <w:jc w:val="left"/>
      </w:pPr>
      <w:r>
        <w:rPr>
          <w:sz w:val="21"/>
        </w:rPr>
        <w:t>（一）主要服务内容</w:t>
      </w:r>
    </w:p>
    <w:p>
      <w:pPr>
        <w:jc w:val="left"/>
      </w:pPr>
      <w:r>
        <w:rPr>
          <w:sz w:val="21"/>
        </w:rPr>
        <w:t>1.负责辖区内人行道以上共享自行车、共享电动自行车停放的规范工作。要求人行道上的共享自行车、共享电动自行车停放有序，对共享自行车、共享电动自行车使用人在现场的，要劝阻使用人按规定有序停放；对共享自行车、共享电动自行车使用人不在现场的，要主动将车辆按规定摆放整齐。严禁在人行道上停放各类机动车，对机动车驾驶人在现场的，劝导其立即驶离，对机动车驾驶人不在现场的，要及时与交警中队衔接，由交警按程序进行处理。</w:t>
      </w:r>
    </w:p>
    <w:p>
      <w:pPr>
        <w:jc w:val="left"/>
      </w:pPr>
      <w:r>
        <w:rPr>
          <w:sz w:val="21"/>
        </w:rPr>
        <w:t>2.负责辖区内占路经营或占路堆放物料不文明行为的劝导工作。发现沿街门店有室外经营、占路堆放沙土建筑材料、杂物和摆放灯箱、广告牌匾以及流动摊贩（摊点）占路经营等行为时，要及时进行劝阻和制止，并做好教育与宣传工作。对拒不服从管理的，通知执法人员跟进。</w:t>
      </w:r>
    </w:p>
    <w:p>
      <w:pPr>
        <w:jc w:val="left"/>
      </w:pPr>
      <w:r>
        <w:rPr>
          <w:sz w:val="21"/>
        </w:rPr>
        <w:t>3.负责对辖区内乱贴乱画的清理工作。发现有在沿街建筑物、线杆以及树木上乱贴乱画的行为时，要及时予以制止，并要求违法行为人自行清理干净。发现有乱贴乱画现象，便于清除的，要及时自行清理。</w:t>
      </w:r>
    </w:p>
    <w:p>
      <w:pPr>
        <w:jc w:val="left"/>
      </w:pPr>
      <w:r>
        <w:rPr>
          <w:sz w:val="21"/>
        </w:rPr>
        <w:t>4.负责辖区内乱挂乱晒不文明行为的劝导工作。发现沿街有乱挂条幅、乱晒衣服、毛巾、被褥、清洁用品等物品时要及时进行劝阻。要求其立即将物品清理，对拒不服从管理的，通知执法人员跟进。</w:t>
      </w:r>
    </w:p>
    <w:p>
      <w:pPr>
        <w:jc w:val="left"/>
      </w:pPr>
      <w:r>
        <w:rPr>
          <w:sz w:val="21"/>
        </w:rPr>
        <w:t>5.负责辖区内污染、损坏路面不文明行为的劝导工作。发现因修、洗车、各类维修和加工喷漆等行为造成路面污染，以及私自挖掘城市道路、在城市道路、人行道、绿化带等区域私拉管线造成表面损坏的行为时，要及时进行劝导并进行制止。对拒不服从管理的，通知执法人员跟进。</w:t>
      </w:r>
    </w:p>
    <w:p>
      <w:pPr>
        <w:jc w:val="left"/>
      </w:pPr>
      <w:r>
        <w:rPr>
          <w:sz w:val="21"/>
        </w:rPr>
        <w:t>6.负责辖区内乱丢倒垃圾不文明行为的劝导工作。发现有不按规定时间、地点倾倒垃圾、污物的行为时，要进行劝阻和制止。对于正在乱倒的要及时制止，并要求违法行为人立即清除，已经乱倒而违法行为人又不在现场的，通知相关单位及时清理。</w:t>
      </w:r>
    </w:p>
    <w:p>
      <w:pPr>
        <w:jc w:val="left"/>
      </w:pPr>
      <w:r>
        <w:rPr>
          <w:sz w:val="21"/>
        </w:rPr>
        <w:t>7.负责辖区内破坏城市绿化不文明行为的劝导工作。发现有破坏绿地、损毁树木的行为时，要及时劝阻和制止。力所能及的，自行修复。</w:t>
      </w:r>
    </w:p>
    <w:p>
      <w:pPr>
        <w:jc w:val="left"/>
      </w:pPr>
      <w:r>
        <w:rPr>
          <w:sz w:val="21"/>
        </w:rPr>
        <w:t>8.</w:t>
      </w:r>
      <w:r>
        <w:rPr>
          <w:sz w:val="21"/>
        </w:rPr>
        <w:t>完成涉及市容环境管理文明劝导的其他工作。含</w:t>
      </w:r>
      <w:r>
        <w:rPr>
          <w:sz w:val="21"/>
        </w:rPr>
        <w:t>路面市容数据采集等。</w:t>
      </w:r>
    </w:p>
    <w:p>
      <w:pPr>
        <w:jc w:val="left"/>
      </w:pPr>
      <w:r>
        <w:rPr>
          <w:sz w:val="21"/>
        </w:rPr>
        <w:t>（二）服务标准</w:t>
      </w:r>
    </w:p>
    <w:p>
      <w:pPr>
        <w:jc w:val="left"/>
      </w:pPr>
      <w:r>
        <w:rPr>
          <w:sz w:val="21"/>
        </w:rPr>
        <w:t>1.</w:t>
      </w:r>
      <w:r>
        <w:rPr>
          <w:sz w:val="21"/>
        </w:rPr>
        <w:t>发现有上述违法违章行为在进行劝阻、制止时，要耐心细致，并注意语言文明。在管理过程中，做到文明管理、秉公办事、廉洁自律、遵章守纪，自觉维护劝导队伍的良好形象；</w:t>
      </w:r>
    </w:p>
    <w:p>
      <w:pPr>
        <w:jc w:val="left"/>
      </w:pPr>
      <w:r>
        <w:rPr>
          <w:sz w:val="21"/>
        </w:rPr>
        <w:t>2.</w:t>
      </w:r>
      <w:r>
        <w:rPr>
          <w:sz w:val="21"/>
        </w:rPr>
        <w:t>遵从甲方以及上级的安排，根据服务内容开展工作；</w:t>
      </w:r>
    </w:p>
    <w:p>
      <w:pPr>
        <w:jc w:val="left"/>
      </w:pPr>
      <w:r>
        <w:rPr>
          <w:sz w:val="21"/>
        </w:rPr>
        <w:t>3.</w:t>
      </w:r>
      <w:r>
        <w:rPr>
          <w:sz w:val="21"/>
        </w:rPr>
        <w:t>对力所能及的问题要自行处理（包括但不限于：街道散落些许垃圾、落叶等，牛皮癣等容易处理的小广告）；</w:t>
      </w:r>
    </w:p>
    <w:p>
      <w:pPr>
        <w:jc w:val="left"/>
      </w:pPr>
      <w:r>
        <w:rPr>
          <w:sz w:val="21"/>
        </w:rPr>
        <w:t>4.</w:t>
      </w:r>
      <w:r>
        <w:rPr>
          <w:sz w:val="21"/>
        </w:rPr>
        <w:t>城市管理黑点、难点区域，安排专人进行劝导；</w:t>
      </w:r>
    </w:p>
    <w:p>
      <w:pPr>
        <w:jc w:val="left"/>
      </w:pPr>
      <w:r>
        <w:rPr>
          <w:sz w:val="21"/>
        </w:rPr>
        <w:t>5.</w:t>
      </w:r>
      <w:r>
        <w:rPr>
          <w:sz w:val="21"/>
        </w:rPr>
        <w:t>乐于助人、拾金不昧，树立城市管理新风尚。</w:t>
      </w:r>
    </w:p>
    <w:p>
      <w:r>
        <w:rPr>
          <w:b/>
          <w:color w:val="000000"/>
          <w:sz w:val="21"/>
        </w:rPr>
        <w:t>三、供应商服务团队的总体要求</w:t>
      </w:r>
    </w:p>
    <w:p>
      <w:r>
        <w:rPr>
          <w:sz w:val="21"/>
        </w:rPr>
        <w:t>（一）基本要求</w:t>
      </w:r>
    </w:p>
    <w:p>
      <w:r>
        <w:rPr>
          <w:sz w:val="21"/>
        </w:rPr>
        <w:t>1.乙方需配备20人的服务团队（包含项目负责人、项目组长）并在甲方的总体指导下开展工作，严格遵守各项工作规范，并无条件接受日常监督和检查；</w:t>
      </w:r>
    </w:p>
    <w:p>
      <w:r>
        <w:rPr>
          <w:sz w:val="21"/>
        </w:rPr>
        <w:t>2.服务团队必须具有科学合理的组织机构体系，实行层级管理，保证管理、指挥、质量控制要求在组织架构上实现；</w:t>
      </w:r>
    </w:p>
    <w:p>
      <w:r>
        <w:rPr>
          <w:sz w:val="21"/>
        </w:rPr>
        <w:t>3.服务团队必须制定可进可出的内部管理清退制度，实行奖优惩劣措施，保证服务人员的素质；</w:t>
      </w:r>
    </w:p>
    <w:p>
      <w:r>
        <w:rPr>
          <w:sz w:val="21"/>
        </w:rPr>
        <w:t>4.服务团队必须建立严格的内部质量控制体系，落实专人负责对服务人员的工作质量实行实时监控；对投诉、工作失误等问题实行跟踪、反馈，建立质量问题处罚机制；</w:t>
      </w:r>
    </w:p>
    <w:p>
      <w:r>
        <w:rPr>
          <w:sz w:val="21"/>
        </w:rPr>
        <w:t>5.服务团队必须制定合理的服务人员配置方案，保障人员的合理调度，根据工作时间的要求，制定合理安排交接班制度，保障人员的合理组织；</w:t>
      </w:r>
    </w:p>
    <w:p>
      <w:r>
        <w:rPr>
          <w:sz w:val="21"/>
        </w:rPr>
        <w:t>6.服务团队必须建立完善的培训制度，培训包括上岗培训、日常技能培训等，人员必须经培训合格后才上岗工作；</w:t>
      </w:r>
    </w:p>
    <w:p>
      <w:r>
        <w:rPr>
          <w:sz w:val="21"/>
        </w:rPr>
        <w:t>7.服务团队必须严格遵照法律、法规、规章和规定的要求，与服务人员队伍签订劳动合同，并按照相关劳动法律、法规的规定办理等，贯彻劳动法律、法规中有关工作时间和休息、休假、工资等规定；</w:t>
      </w:r>
    </w:p>
    <w:p>
      <w:r>
        <w:rPr>
          <w:sz w:val="21"/>
        </w:rPr>
        <w:t>8.服务人员必须持证上岗，身体健康，品行端正，无违法犯罪记录，无纹身，能说普通话，有较强的组织纪律性。城管系统内违纪违规被开除的人员，服务团队不得录用其进行相关工作；</w:t>
      </w:r>
    </w:p>
    <w:p>
      <w:r>
        <w:rPr>
          <w:sz w:val="21"/>
        </w:rPr>
        <w:t>9.服务人员必须统一着装、外貌整洁不穿奇装异服；</w:t>
      </w:r>
    </w:p>
    <w:p>
      <w:r>
        <w:rPr>
          <w:sz w:val="21"/>
        </w:rPr>
        <w:t>10.服务人员值勤时举止应大方得体、礼貌待人。</w:t>
      </w:r>
    </w:p>
    <w:p>
      <w:r>
        <w:rPr>
          <w:sz w:val="21"/>
        </w:rPr>
        <w:t>（二）在岗时间配置要求</w:t>
      </w:r>
    </w:p>
    <w:p>
      <w:r>
        <w:rPr>
          <w:sz w:val="21"/>
        </w:rPr>
        <w:t>1.</w:t>
      </w:r>
      <w:r>
        <w:rPr>
          <w:sz w:val="21"/>
        </w:rPr>
        <w:t>项目负责人</w:t>
      </w:r>
      <w:r>
        <w:rPr>
          <w:sz w:val="21"/>
        </w:rPr>
        <w:t>1</w:t>
      </w:r>
      <w:r>
        <w:rPr>
          <w:sz w:val="21"/>
        </w:rPr>
        <w:t>人：要求</w:t>
      </w:r>
      <w:r>
        <w:rPr>
          <w:sz w:val="21"/>
        </w:rPr>
        <w:t>24</w:t>
      </w:r>
      <w:r>
        <w:rPr>
          <w:sz w:val="21"/>
        </w:rPr>
        <w:t>小时在佛山市禅城区南庄镇待命，随时与甲方保持沟通，接到甲方通知后需</w:t>
      </w:r>
      <w:r>
        <w:rPr>
          <w:sz w:val="21"/>
        </w:rPr>
        <w:t>30</w:t>
      </w:r>
      <w:r>
        <w:rPr>
          <w:sz w:val="21"/>
        </w:rPr>
        <w:t>分钟内到达指定位置；</w:t>
      </w:r>
    </w:p>
    <w:p>
      <w:r>
        <w:rPr>
          <w:sz w:val="21"/>
        </w:rPr>
        <w:t>2.</w:t>
      </w:r>
      <w:r>
        <w:rPr>
          <w:sz w:val="21"/>
        </w:rPr>
        <w:t>项目组</w:t>
      </w:r>
      <w:r>
        <w:rPr>
          <w:sz w:val="21"/>
        </w:rPr>
        <w:t>长</w:t>
      </w:r>
      <w:r>
        <w:rPr>
          <w:sz w:val="21"/>
        </w:rPr>
        <w:t>(值班长)2人：24小时待命三班倒，随时与甲方保持沟通，接受甲方和项目负责人工作安排，接到甲方通知后需30分钟内到达指定位置；</w:t>
      </w:r>
    </w:p>
    <w:p>
      <w:r>
        <w:rPr>
          <w:sz w:val="21"/>
        </w:rPr>
        <w:t>3.服务人员（17人）服务时间采用6天工作制（周一至周六）。如</w:t>
      </w:r>
      <w:r>
        <w:rPr>
          <w:sz w:val="21"/>
        </w:rPr>
        <w:t>甲方提出需要开展专项行动，则由甲方另行安排上班时间，乙方应无条件配合。</w:t>
      </w:r>
    </w:p>
    <w:p>
      <w:r>
        <w:rPr>
          <w:sz w:val="21"/>
        </w:rPr>
        <w:t>（三）岗位具体职责</w:t>
      </w:r>
    </w:p>
    <w:p>
      <w:r>
        <w:rPr>
          <w:b/>
          <w:sz w:val="21"/>
        </w:rPr>
        <w:t>1.项目负责人(1人)：</w:t>
      </w:r>
    </w:p>
    <w:p>
      <w:r>
        <w:rPr>
          <w:sz w:val="21"/>
        </w:rPr>
        <w:t>A.负责与甲方沟通协调，准确理解甲方服务人员工作要求并向服务团队宣贯执行；</w:t>
      </w:r>
    </w:p>
    <w:p>
      <w:r>
        <w:rPr>
          <w:sz w:val="21"/>
        </w:rPr>
        <w:t>B.负责服务团队的全面日常管理工作；</w:t>
      </w:r>
    </w:p>
    <w:p>
      <w:r>
        <w:rPr>
          <w:sz w:val="21"/>
        </w:rPr>
        <w:t>C.根据甲方开展的专项整治工作，安排服务团队配合执行，并提供合理化工作建议；</w:t>
      </w:r>
    </w:p>
    <w:p>
      <w:r>
        <w:rPr>
          <w:sz w:val="21"/>
        </w:rPr>
        <w:t>D.定期向甲方提交服务团队工作开展运营月报，分析运营工作中存在的问题，提出并落实整改意见，同时为甲方数字城管各项工作提供科学的决策依据；</w:t>
      </w:r>
    </w:p>
    <w:p>
      <w:r>
        <w:rPr>
          <w:sz w:val="21"/>
        </w:rPr>
        <w:t>E.负责南庄镇服务团队的人员培养，确保运营团队队伍稳定、业务技能提升；</w:t>
      </w:r>
    </w:p>
    <w:p>
      <w:r>
        <w:rPr>
          <w:sz w:val="21"/>
        </w:rPr>
        <w:t>F.负责南庄镇服务团队绩效考核，奖励先进、鞭策落后、淘汰不合格人员。研究其他地区服务的先进经验，为南庄镇文明城市管理工作高效运营提供合理化工作建议等。</w:t>
      </w:r>
    </w:p>
    <w:p>
      <w:r>
        <w:rPr>
          <w:sz w:val="21"/>
        </w:rPr>
        <w:t>G.人员要求：</w:t>
      </w:r>
    </w:p>
    <w:p>
      <w:r>
        <w:rPr>
          <w:sz w:val="21"/>
        </w:rPr>
        <w:t>1）大专或以上文化程度；</w:t>
      </w:r>
    </w:p>
    <w:p>
      <w:r>
        <w:rPr>
          <w:sz w:val="21"/>
        </w:rPr>
        <w:t>2）年龄</w:t>
      </w:r>
      <w:r>
        <w:rPr>
          <w:sz w:val="21"/>
        </w:rPr>
        <w:t>50岁以下；</w:t>
      </w:r>
    </w:p>
    <w:p>
      <w:r>
        <w:rPr>
          <w:sz w:val="21"/>
        </w:rPr>
        <w:t>3）有</w:t>
      </w:r>
      <w:r>
        <w:rPr>
          <w:sz w:val="21"/>
        </w:rPr>
        <w:t>5年以上工作经验；</w:t>
      </w:r>
    </w:p>
    <w:p>
      <w:r>
        <w:rPr>
          <w:sz w:val="21"/>
        </w:rPr>
        <w:t>4）具有相关行政管理经验和良好的协调沟通组织能力。</w:t>
      </w:r>
    </w:p>
    <w:p>
      <w:r>
        <w:rPr>
          <w:b/>
          <w:sz w:val="21"/>
        </w:rPr>
        <w:t>2.项目组长(服务人员的直接负责人2人)：</w:t>
      </w:r>
    </w:p>
    <w:p>
      <w:r>
        <w:rPr>
          <w:sz w:val="21"/>
        </w:rPr>
        <w:t>A.负责所属区域内服务人员日常工作安排、进度把握；与服务人员一起开展对不文明行为的劝导工作、负责辖区夜间专项整治带队劝导工作；</w:t>
      </w:r>
    </w:p>
    <w:p>
      <w:r>
        <w:rPr>
          <w:sz w:val="21"/>
        </w:rPr>
        <w:t>B.对服务人员进行监督管理，了解服务人员考勤、工作轨迹、工作效果及案件上报情况等。通过明查、暗检方式查处服务人员不守工作纪律、私自离岗、迟到早退、弄虚作假等行为；</w:t>
      </w:r>
    </w:p>
    <w:p>
      <w:r>
        <w:rPr>
          <w:sz w:val="21"/>
        </w:rPr>
        <w:t>C.负责服务人员工作现场技术支持，落实服务人员工作纪律的监督管理工作；</w:t>
      </w:r>
    </w:p>
    <w:p>
      <w:r>
        <w:rPr>
          <w:sz w:val="21"/>
        </w:rPr>
        <w:t>D.负责发现和反馈服务人员工作中的问题，落实路面服务人员工作业务水平优化和改正工作的开展；</w:t>
      </w:r>
    </w:p>
    <w:p>
      <w:r>
        <w:rPr>
          <w:sz w:val="21"/>
        </w:rPr>
        <w:t>E.收集整理责任区域内劝导工作所遇到的主要问题，为南庄镇城市管理的有效运营提供参考依据及合理化建议；</w:t>
      </w:r>
    </w:p>
    <w:p>
      <w:r>
        <w:rPr>
          <w:sz w:val="21"/>
        </w:rPr>
        <w:t>F.遵守甲方原有及将要制定的各项规章制度。</w:t>
      </w:r>
    </w:p>
    <w:p>
      <w:r>
        <w:rPr>
          <w:sz w:val="21"/>
        </w:rPr>
        <w:t>G.人员要求：</w:t>
      </w:r>
    </w:p>
    <w:p>
      <w:r>
        <w:rPr>
          <w:sz w:val="21"/>
        </w:rPr>
        <w:t>1）高中或以上文化程度；</w:t>
      </w:r>
    </w:p>
    <w:p>
      <w:r>
        <w:rPr>
          <w:sz w:val="21"/>
        </w:rPr>
        <w:t>2）年龄</w:t>
      </w:r>
      <w:r>
        <w:rPr>
          <w:sz w:val="21"/>
        </w:rPr>
        <w:t>50岁以下；</w:t>
      </w:r>
    </w:p>
    <w:p>
      <w:r>
        <w:rPr>
          <w:sz w:val="21"/>
        </w:rPr>
        <w:t>3）有一年以上团队管理工作经验；熟悉计算机、手机操作软件；</w:t>
      </w:r>
    </w:p>
    <w:p>
      <w:r>
        <w:rPr>
          <w:sz w:val="21"/>
        </w:rPr>
        <w:t>4）</w:t>
      </w:r>
      <w:r>
        <w:rPr>
          <w:sz w:val="21"/>
        </w:rPr>
        <w:t>无明显身体缺陷。</w:t>
      </w:r>
    </w:p>
    <w:p>
      <w:r>
        <w:rPr>
          <w:b/>
          <w:sz w:val="21"/>
        </w:rPr>
        <w:t>3.服务人员(17人)：</w:t>
      </w:r>
    </w:p>
    <w:p>
      <w:r>
        <w:rPr>
          <w:sz w:val="21"/>
        </w:rPr>
        <w:t>A.严格按照规定的工作时间在所属的区域网格范围内开展文明劝导服务工作，自行纠正处理各类轻微问题；</w:t>
      </w:r>
    </w:p>
    <w:p>
      <w:r>
        <w:rPr>
          <w:sz w:val="21"/>
        </w:rPr>
        <w:t>B.对自身无法处理的问题，及时通知甲方跟进处理；</w:t>
      </w:r>
    </w:p>
    <w:p>
      <w:r>
        <w:rPr>
          <w:sz w:val="21"/>
        </w:rPr>
        <w:t>C.协助甲方、佛山市禅城区南庄镇各村居做好管理区域内“市容环境卫生责任区”责任制的落实。</w:t>
      </w:r>
    </w:p>
    <w:p>
      <w:r>
        <w:rPr>
          <w:sz w:val="21"/>
        </w:rPr>
        <w:t>D.协同甲方人员参加整治，劝导不文明行为。</w:t>
      </w:r>
    </w:p>
    <w:p>
      <w:r>
        <w:rPr>
          <w:sz w:val="21"/>
        </w:rPr>
        <w:t>E.遵守甲方原有及将要制定的各项规章制度。</w:t>
      </w:r>
    </w:p>
    <w:p>
      <w:r>
        <w:rPr>
          <w:sz w:val="21"/>
        </w:rPr>
        <w:t>1）</w:t>
      </w:r>
      <w:r>
        <w:rPr>
          <w:sz w:val="21"/>
        </w:rPr>
        <w:t>中专或以上文化程度；</w:t>
      </w:r>
    </w:p>
    <w:p>
      <w:r>
        <w:rPr>
          <w:sz w:val="21"/>
        </w:rPr>
        <w:t>2）年龄</w:t>
      </w:r>
      <w:r>
        <w:rPr>
          <w:sz w:val="21"/>
        </w:rPr>
        <w:t>50岁以下；</w:t>
      </w:r>
    </w:p>
    <w:p>
      <w:r>
        <w:rPr>
          <w:sz w:val="21"/>
        </w:rPr>
        <w:t>3）熟悉计算机、手机操作软件；</w:t>
      </w:r>
    </w:p>
    <w:p>
      <w:r>
        <w:rPr>
          <w:sz w:val="21"/>
        </w:rPr>
        <w:t>4）</w:t>
      </w:r>
      <w:r>
        <w:rPr>
          <w:sz w:val="21"/>
        </w:rPr>
        <w:t>无明显身体缺陷。</w:t>
      </w:r>
    </w:p>
    <w:p>
      <w:r>
        <w:rPr>
          <w:sz w:val="22"/>
        </w:rPr>
        <w:t>（四）工作纪律</w:t>
      </w:r>
    </w:p>
    <w:p>
      <w:r>
        <w:rPr>
          <w:sz w:val="21"/>
        </w:rPr>
        <w:t>1.认真遵守作息时间。(作息时间随季节的变化改变，具体时间由甲方通知)；</w:t>
      </w:r>
    </w:p>
    <w:p>
      <w:r>
        <w:rPr>
          <w:sz w:val="21"/>
        </w:rPr>
        <w:t>2.工作时间内不准做与工作无关的事；</w:t>
      </w:r>
    </w:p>
    <w:p>
      <w:r>
        <w:rPr>
          <w:sz w:val="21"/>
        </w:rPr>
        <w:t>3.服务人员要认真履行职责，严格遵守作息时间，不准迟到、早退，遇有特殊情况及时与值班长反映。不准擅离岗位、脱岗、串岗；</w:t>
      </w:r>
    </w:p>
    <w:p>
      <w:r>
        <w:rPr>
          <w:sz w:val="21"/>
        </w:rPr>
        <w:t>4.规范着装，上班制服应干净、整齐。纽扣带要全部扣好，不得敞开外衣，卷起裤脚、衣袖，领带必须结好；不得披衣、敞怀、挽袖、卷起裤脚、歪戴帽、穿拖鞋或赤脚。员工“工号卡”写明单位、职务、编号等，端正佩带在胸前。服务人员要穿好印有“文明劝导”标识马甲和帽子。</w:t>
      </w:r>
    </w:p>
    <w:p>
      <w:r>
        <w:rPr>
          <w:sz w:val="21"/>
        </w:rPr>
        <w:t>5.上岗时举止文明、大方。头发要整洁，男的不留长发、大包头，蓄发不得露于帽檐外，帽檐下发不得超过1厘米；不得留长发鬓角，鬓发长不超过耳屏。</w:t>
      </w:r>
    </w:p>
    <w:p>
      <w:r>
        <w:rPr>
          <w:sz w:val="21"/>
        </w:rPr>
        <w:t>6.精神振作，姿态良好，抬头挺胸，不得弯腰驼背，不得东歪西倒、前倾后靠，不得伸懒腰，不袖手、背手、叉腰或将手插入衣袋，不准在值班时吸烟、打瞌睡、吃零食。</w:t>
      </w:r>
    </w:p>
    <w:p>
      <w:r>
        <w:rPr>
          <w:sz w:val="21"/>
        </w:rPr>
        <w:t>7.不得哼歌曲、吹口哨、跺脚，不得随地吐痰、乱丢杂物。</w:t>
      </w:r>
    </w:p>
    <w:p>
      <w:r>
        <w:rPr>
          <w:sz w:val="21"/>
        </w:rPr>
        <w:t>8.不准酒后值勤和在上班时饮酒；</w:t>
      </w:r>
    </w:p>
    <w:p>
      <w:r>
        <w:rPr>
          <w:sz w:val="21"/>
        </w:rPr>
        <w:t>9.不准向业主、司机，摊主及其他客户借钱或索讨财物；</w:t>
      </w:r>
    </w:p>
    <w:p>
      <w:r>
        <w:rPr>
          <w:sz w:val="21"/>
        </w:rPr>
        <w:t>10.不准打人、骂人、不准知情不报。不准在岗位上与他人发生争吵或打架。</w:t>
      </w:r>
    </w:p>
    <w:p>
      <w:r>
        <w:rPr>
          <w:b/>
          <w:color w:val="000000"/>
          <w:sz w:val="22"/>
        </w:rPr>
        <w:t>四、实施方案</w:t>
      </w:r>
    </w:p>
    <w:p>
      <w:r>
        <w:rPr>
          <w:sz w:val="21"/>
        </w:rPr>
        <w:t>（一）主次干道文明劝导（</w:t>
      </w:r>
      <w:r>
        <w:rPr>
          <w:sz w:val="21"/>
        </w:rPr>
        <w:t>8公里/人，共约75公里。）</w:t>
      </w:r>
    </w:p>
    <w:p>
      <w:pPr>
        <w:ind w:firstLine="420"/>
      </w:pPr>
      <w:r>
        <w:rPr>
          <w:sz w:val="21"/>
        </w:rPr>
        <w:t>主要工作内容为对佛山市禅城区南庄镇主次干道两旁沿线商户、市民进行文明劝导：</w:t>
      </w:r>
    </w:p>
    <w:p>
      <w:r>
        <w:rPr>
          <w:sz w:val="21"/>
        </w:rPr>
        <w:t>1.主干道：南庄大道、季华西路、魁奇路西延线、樵乐路和紫洞路约30公里。</w:t>
      </w:r>
    </w:p>
    <w:p>
      <w:r>
        <w:rPr>
          <w:sz w:val="21"/>
        </w:rPr>
        <w:t>2.次干道：龙津东西路、梧村大道、富兴路、村尾路、杏吉路、陶兴路、二马路、河堤路、陶博大道、一环辅道等乡道约45公里。</w:t>
      </w:r>
    </w:p>
    <w:p>
      <w:r>
        <w:rPr>
          <w:sz w:val="21"/>
        </w:rPr>
        <w:t>（二）核心商圈和重点村居片区文明劝导（</w:t>
      </w:r>
      <w:r>
        <w:rPr>
          <w:sz w:val="21"/>
        </w:rPr>
        <w:t>6平方公里/人，共约24.36平方公里）</w:t>
      </w:r>
    </w:p>
    <w:p>
      <w:r>
        <w:rPr>
          <w:sz w:val="21"/>
        </w:rPr>
        <w:t>主要工作内容为在区域内街道两侧和公共场地进行劝导：</w:t>
      </w:r>
    </w:p>
    <w:p>
      <w:r>
        <w:rPr>
          <w:sz w:val="21"/>
        </w:rPr>
        <w:t>1.绿岛湖商圈片区，面积约4.32平方公里；</w:t>
      </w:r>
    </w:p>
    <w:p>
      <w:r>
        <w:rPr>
          <w:sz w:val="21"/>
        </w:rPr>
        <w:t>2.吉利商圈与吉利村片区、华夏陶博城片区，面积约8.13平方公里；</w:t>
      </w:r>
    </w:p>
    <w:p>
      <w:r>
        <w:rPr>
          <w:sz w:val="21"/>
        </w:rPr>
        <w:t>3.解放路商圈、南庄村和罗南村核心片区，面积约10.06平方公里；</w:t>
      </w:r>
    </w:p>
    <w:p>
      <w:r>
        <w:rPr>
          <w:sz w:val="21"/>
        </w:rPr>
        <w:t>4.紫南村核心片区，面积约1.85平方公里。</w:t>
      </w:r>
    </w:p>
    <w:p>
      <w:r>
        <w:rPr>
          <w:sz w:val="21"/>
        </w:rPr>
        <w:t>（三）村级属地文明劝导（</w:t>
      </w:r>
      <w:r>
        <w:rPr>
          <w:sz w:val="21"/>
        </w:rPr>
        <w:t>2个村委会属地/人，南庄镇除罗南、吉利、南庄、紫南外的14个村委会属地。）</w:t>
      </w:r>
    </w:p>
    <w:p>
      <w:r>
        <w:rPr>
          <w:sz w:val="21"/>
        </w:rPr>
        <w:t>主要工作内容为在村级属地市容管理重点区域进行劝导。</w:t>
      </w:r>
    </w:p>
    <w:p>
      <w:r>
        <w:rPr>
          <w:sz w:val="21"/>
        </w:rPr>
        <w:t>（四）装备、场地配置要求</w:t>
      </w:r>
    </w:p>
    <w:tbl>
      <w:tblPr>
        <w:tblW w:w="0" w:type="auto"/>
        <w:tblBorders>
          <w:top w:val="none" w:color="000000" w:sz="4"/>
          <w:left w:val="none" w:color="000000" w:sz="4"/>
          <w:bottom w:val="none" w:color="000000" w:sz="4"/>
          <w:right w:val="none" w:color="000000" w:sz="4"/>
          <w:insideH w:val="none"/>
          <w:insideV w:val="none"/>
        </w:tblBorders>
      </w:tblPr>
      <w:tblGrid>
        <w:gridCol w:w="929"/>
        <w:gridCol w:w="2816"/>
        <w:gridCol w:w="4560"/>
      </w:tblGrid>
      <w:tr>
        <w:tc>
          <w:tcPr>
            <w:tcW w:type="dxa" w:w="929"/>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816"/>
            <w:tcBorders>
              <w:top w:val="single" w:color="000000" w:sz="4"/>
              <w:left w:val="single" w:color="000000" w:sz="4"/>
              <w:bottom w:val="single" w:color="000000" w:sz="4"/>
              <w:right w:val="single" w:color="000000" w:sz="4"/>
            </w:tcBorders>
            <w:vAlign w:val="top"/>
          </w:tcPr>
          <w:p>
            <w:pPr>
              <w:jc w:val="center"/>
            </w:pPr>
            <w:r>
              <w:rPr>
                <w:b/>
                <w:sz w:val="21"/>
              </w:rPr>
              <w:t>名称</w:t>
            </w:r>
          </w:p>
        </w:tc>
        <w:tc>
          <w:tcPr>
            <w:tcW w:type="dxa" w:w="4560"/>
            <w:tcBorders>
              <w:top w:val="single" w:color="000000" w:sz="4"/>
              <w:left w:val="single" w:color="000000" w:sz="4"/>
              <w:bottom w:val="single" w:color="000000" w:sz="4"/>
              <w:right w:val="single" w:color="000000" w:sz="4"/>
            </w:tcBorders>
            <w:vAlign w:val="top"/>
          </w:tcPr>
          <w:p>
            <w:pPr>
              <w:jc w:val="center"/>
            </w:pPr>
            <w:r>
              <w:rPr>
                <w:b/>
                <w:sz w:val="21"/>
              </w:rPr>
              <w:t>配置标准</w:t>
            </w:r>
          </w:p>
        </w:tc>
      </w:tr>
      <w:tr>
        <w:tc>
          <w:tcPr>
            <w:tcW w:type="dxa" w:w="92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16"/>
            <w:tcBorders>
              <w:top w:val="none" w:color="000000" w:sz="4"/>
              <w:left w:val="single" w:color="000000" w:sz="4"/>
              <w:bottom w:val="single" w:color="000000" w:sz="4"/>
              <w:right w:val="single" w:color="000000" w:sz="4"/>
            </w:tcBorders>
            <w:vAlign w:val="top"/>
          </w:tcPr>
          <w:p>
            <w:pPr>
              <w:jc w:val="center"/>
            </w:pPr>
            <w:r>
              <w:rPr>
                <w:sz w:val="21"/>
              </w:rPr>
              <w:t>制式服装</w:t>
            </w:r>
          </w:p>
        </w:tc>
        <w:tc>
          <w:tcPr>
            <w:tcW w:type="dxa" w:w="4560"/>
            <w:tcBorders>
              <w:top w:val="none" w:color="000000" w:sz="4"/>
              <w:left w:val="single" w:color="000000" w:sz="4"/>
              <w:bottom w:val="single" w:color="000000" w:sz="4"/>
              <w:right w:val="single" w:color="000000" w:sz="4"/>
            </w:tcBorders>
            <w:vAlign w:val="top"/>
          </w:tcPr>
          <w:p>
            <w:pPr>
              <w:jc w:val="center"/>
            </w:pPr>
            <w:r>
              <w:rPr>
                <w:sz w:val="21"/>
              </w:rPr>
              <w:t>统一服装</w:t>
            </w:r>
          </w:p>
        </w:tc>
      </w:tr>
      <w:tr>
        <w:tc>
          <w:tcPr>
            <w:tcW w:type="dxa" w:w="92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16"/>
            <w:tcBorders>
              <w:top w:val="none" w:color="000000" w:sz="4"/>
              <w:left w:val="single" w:color="000000" w:sz="4"/>
              <w:bottom w:val="single" w:color="000000" w:sz="4"/>
              <w:right w:val="single" w:color="000000" w:sz="4"/>
            </w:tcBorders>
            <w:vAlign w:val="top"/>
          </w:tcPr>
          <w:p>
            <w:pPr>
              <w:jc w:val="center"/>
            </w:pPr>
            <w:r>
              <w:rPr>
                <w:sz w:val="21"/>
              </w:rPr>
              <w:t>马甲反光衣</w:t>
            </w:r>
          </w:p>
        </w:tc>
        <w:tc>
          <w:tcPr>
            <w:tcW w:type="dxa" w:w="4560"/>
            <w:tcBorders>
              <w:top w:val="none" w:color="000000" w:sz="4"/>
              <w:left w:val="single" w:color="000000" w:sz="4"/>
              <w:bottom w:val="single" w:color="000000" w:sz="4"/>
              <w:right w:val="single" w:color="000000" w:sz="4"/>
            </w:tcBorders>
            <w:vAlign w:val="top"/>
          </w:tcPr>
          <w:p>
            <w:pPr>
              <w:jc w:val="center"/>
            </w:pPr>
            <w:r>
              <w:rPr>
                <w:sz w:val="21"/>
              </w:rPr>
              <w:t>服务人员每人一件</w:t>
            </w:r>
          </w:p>
        </w:tc>
      </w:tr>
      <w:tr>
        <w:tc>
          <w:tcPr>
            <w:tcW w:type="dxa" w:w="92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816"/>
            <w:tcBorders>
              <w:top w:val="none" w:color="000000" w:sz="4"/>
              <w:left w:val="single" w:color="000000" w:sz="4"/>
              <w:bottom w:val="single" w:color="000000" w:sz="4"/>
              <w:right w:val="single" w:color="000000" w:sz="4"/>
            </w:tcBorders>
            <w:vAlign w:val="top"/>
          </w:tcPr>
          <w:p>
            <w:pPr>
              <w:jc w:val="center"/>
            </w:pPr>
            <w:r>
              <w:rPr>
                <w:sz w:val="21"/>
              </w:rPr>
              <w:t>现场记录仪</w:t>
            </w:r>
          </w:p>
        </w:tc>
        <w:tc>
          <w:tcPr>
            <w:tcW w:type="dxa" w:w="4560"/>
            <w:tcBorders>
              <w:top w:val="none" w:color="000000" w:sz="4"/>
              <w:left w:val="single" w:color="000000" w:sz="4"/>
              <w:bottom w:val="single" w:color="000000" w:sz="4"/>
              <w:right w:val="single" w:color="000000" w:sz="4"/>
            </w:tcBorders>
            <w:vAlign w:val="top"/>
          </w:tcPr>
          <w:p>
            <w:pPr>
              <w:jc w:val="center"/>
            </w:pPr>
            <w:r>
              <w:rPr>
                <w:sz w:val="21"/>
              </w:rPr>
              <w:t>服务人员每</w:t>
            </w:r>
            <w:r>
              <w:rPr>
                <w:sz w:val="21"/>
              </w:rPr>
              <w:t>2人一台</w:t>
            </w:r>
          </w:p>
        </w:tc>
      </w:tr>
      <w:tr>
        <w:tc>
          <w:tcPr>
            <w:tcW w:type="dxa" w:w="92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16"/>
            <w:tcBorders>
              <w:top w:val="none" w:color="000000" w:sz="4"/>
              <w:left w:val="single" w:color="000000" w:sz="4"/>
              <w:bottom w:val="single" w:color="000000" w:sz="4"/>
              <w:right w:val="single" w:color="000000" w:sz="4"/>
            </w:tcBorders>
            <w:vAlign w:val="top"/>
          </w:tcPr>
          <w:p>
            <w:pPr>
              <w:jc w:val="center"/>
            </w:pPr>
            <w:r>
              <w:rPr>
                <w:sz w:val="21"/>
              </w:rPr>
              <w:t>对讲机</w:t>
            </w:r>
          </w:p>
        </w:tc>
        <w:tc>
          <w:tcPr>
            <w:tcW w:type="dxa" w:w="4560"/>
            <w:tcBorders>
              <w:top w:val="none" w:color="000000" w:sz="4"/>
              <w:left w:val="single" w:color="000000" w:sz="4"/>
              <w:bottom w:val="single" w:color="000000" w:sz="4"/>
              <w:right w:val="single" w:color="000000" w:sz="4"/>
            </w:tcBorders>
            <w:vAlign w:val="top"/>
          </w:tcPr>
          <w:p>
            <w:pPr>
              <w:jc w:val="center"/>
            </w:pPr>
            <w:r>
              <w:rPr>
                <w:sz w:val="21"/>
              </w:rPr>
              <w:t>服务人员每</w:t>
            </w:r>
            <w:r>
              <w:rPr>
                <w:sz w:val="21"/>
              </w:rPr>
              <w:t>2人一台</w:t>
            </w:r>
          </w:p>
        </w:tc>
      </w:tr>
      <w:tr>
        <w:tc>
          <w:tcPr>
            <w:tcW w:type="dxa" w:w="92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816"/>
            <w:tcBorders>
              <w:top w:val="none" w:color="000000" w:sz="4"/>
              <w:left w:val="single" w:color="000000" w:sz="4"/>
              <w:bottom w:val="single" w:color="000000" w:sz="4"/>
              <w:right w:val="single" w:color="000000" w:sz="4"/>
            </w:tcBorders>
            <w:vAlign w:val="top"/>
          </w:tcPr>
          <w:p>
            <w:pPr>
              <w:jc w:val="center"/>
            </w:pPr>
            <w:r>
              <w:rPr>
                <w:sz w:val="21"/>
              </w:rPr>
              <w:t>汽车</w:t>
            </w:r>
          </w:p>
        </w:tc>
        <w:tc>
          <w:tcPr>
            <w:tcW w:type="dxa" w:w="4560"/>
            <w:tcBorders>
              <w:top w:val="none" w:color="000000" w:sz="4"/>
              <w:left w:val="single" w:color="000000" w:sz="4"/>
              <w:bottom w:val="single" w:color="000000" w:sz="4"/>
              <w:right w:val="single" w:color="000000" w:sz="4"/>
            </w:tcBorders>
            <w:vAlign w:val="top"/>
          </w:tcPr>
          <w:p>
            <w:pPr>
              <w:jc w:val="center"/>
            </w:pPr>
            <w:r>
              <w:rPr>
                <w:sz w:val="21"/>
              </w:rPr>
              <w:t>3辆</w:t>
            </w:r>
          </w:p>
        </w:tc>
      </w:tr>
      <w:tr>
        <w:tc>
          <w:tcPr>
            <w:tcW w:type="dxa" w:w="92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816"/>
            <w:tcBorders>
              <w:top w:val="none" w:color="000000" w:sz="4"/>
              <w:left w:val="single" w:color="000000" w:sz="4"/>
              <w:bottom w:val="single" w:color="000000" w:sz="4"/>
              <w:right w:val="single" w:color="000000" w:sz="4"/>
            </w:tcBorders>
            <w:vAlign w:val="top"/>
          </w:tcPr>
          <w:p>
            <w:pPr>
              <w:jc w:val="center"/>
            </w:pPr>
            <w:r>
              <w:rPr>
                <w:sz w:val="21"/>
              </w:rPr>
              <w:t>电动自行车</w:t>
            </w:r>
          </w:p>
        </w:tc>
        <w:tc>
          <w:tcPr>
            <w:tcW w:type="dxa" w:w="4560"/>
            <w:tcBorders>
              <w:top w:val="none" w:color="000000" w:sz="4"/>
              <w:left w:val="single" w:color="000000" w:sz="4"/>
              <w:bottom w:val="single" w:color="000000" w:sz="4"/>
              <w:right w:val="single" w:color="000000" w:sz="4"/>
            </w:tcBorders>
            <w:vAlign w:val="top"/>
          </w:tcPr>
          <w:p>
            <w:pPr>
              <w:jc w:val="center"/>
            </w:pPr>
            <w:r>
              <w:rPr>
                <w:sz w:val="21"/>
              </w:rPr>
              <w:t>7台</w:t>
            </w:r>
          </w:p>
        </w:tc>
      </w:tr>
      <w:tr>
        <w:tc>
          <w:tcPr>
            <w:tcW w:type="dxa" w:w="92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816"/>
            <w:tcBorders>
              <w:top w:val="none" w:color="000000" w:sz="4"/>
              <w:left w:val="single" w:color="000000" w:sz="4"/>
              <w:bottom w:val="single" w:color="000000" w:sz="4"/>
              <w:right w:val="single" w:color="000000" w:sz="4"/>
            </w:tcBorders>
            <w:vAlign w:val="top"/>
          </w:tcPr>
          <w:p>
            <w:pPr>
              <w:jc w:val="center"/>
            </w:pPr>
            <w:r>
              <w:rPr>
                <w:sz w:val="21"/>
              </w:rPr>
              <w:t>场地</w:t>
            </w:r>
          </w:p>
        </w:tc>
        <w:tc>
          <w:tcPr>
            <w:tcW w:type="dxa" w:w="4560"/>
            <w:tcBorders>
              <w:top w:val="none" w:color="000000" w:sz="4"/>
              <w:left w:val="single" w:color="000000" w:sz="4"/>
              <w:bottom w:val="single" w:color="000000" w:sz="4"/>
              <w:right w:val="single" w:color="000000" w:sz="4"/>
            </w:tcBorders>
            <w:vAlign w:val="top"/>
          </w:tcPr>
          <w:p>
            <w:pPr>
              <w:jc w:val="center"/>
            </w:pPr>
            <w:r>
              <w:rPr>
                <w:sz w:val="21"/>
              </w:rPr>
              <w:t>配备不少于</w:t>
            </w:r>
            <w:r>
              <w:rPr>
                <w:sz w:val="21"/>
              </w:rPr>
              <w:t>200平方米场地用于人员办公、设备车辆停放、相关物资存放。</w:t>
            </w:r>
          </w:p>
        </w:tc>
      </w:tr>
    </w:tbl>
    <w:p>
      <w:r>
        <w:rPr>
          <w:b/>
          <w:color w:val="000000"/>
          <w:sz w:val="22"/>
        </w:rPr>
        <w:t>五、服务团队的考核评定及服务费用计算方式</w:t>
      </w:r>
    </w:p>
    <w:p>
      <w:r>
        <w:rPr>
          <w:sz w:val="22"/>
        </w:rPr>
        <w:t>（一）</w:t>
      </w:r>
      <w:r>
        <w:rPr>
          <w:sz w:val="22"/>
        </w:rPr>
        <w:t>考核评定方式</w:t>
      </w:r>
    </w:p>
    <w:p>
      <w:r>
        <w:rPr>
          <w:sz w:val="21"/>
        </w:rPr>
        <w:t>考核由服务配置考核、信息系统考核、路面效果考核和内务考核构成。</w:t>
      </w:r>
    </w:p>
    <w:p>
      <w:r>
        <w:rPr>
          <w:sz w:val="21"/>
        </w:rPr>
        <w:t>1.服务配置考核：甲方每月对乙方进行服务配置核查，若乙方没能按要求落实配置则按成交价格按实扣减相关人员、设备、场地费用。当月基础服务费=每月成交金额-扣减金额。（备注：甲方有权按实际需求调减服务项目规模并核减相应费用乙方须无条件接受。）</w:t>
      </w:r>
    </w:p>
    <w:p>
      <w:r>
        <w:rPr>
          <w:sz w:val="21"/>
        </w:rPr>
        <w:t>每月成交金额</w:t>
      </w:r>
      <w:r>
        <w:rPr>
          <w:sz w:val="21"/>
        </w:rPr>
        <w:t>=合同金额÷12</w:t>
      </w:r>
    </w:p>
    <w:p>
      <w:r>
        <w:rPr>
          <w:sz w:val="21"/>
        </w:rPr>
        <w:t>2.信息系统考核：服务单位需按甲方要求将项目基础台账（人员台账、车辆台账、管理台账、培训台账等）、日常服务台账（日常巡查劝导数据）、工单处理台账（派接单处理数据）等按时按质上传信息系统，每月根据信息系统统计的考核分数（百分制）评定。</w:t>
      </w:r>
    </w:p>
    <w:p>
      <w:r>
        <w:rPr>
          <w:sz w:val="21"/>
        </w:rPr>
        <w:t>3.路面效果考核：甲方按《路面考评月评分表》《路面考评月评分表》（详见合同附件一）、《项目路面效果月度考核汇总表》（详见合同附件二</w:t>
      </w:r>
      <w:r>
        <w:rPr>
          <w:sz w:val="21"/>
        </w:rPr>
        <w:t>）</w:t>
      </w:r>
      <w:r>
        <w:rPr>
          <w:sz w:val="21"/>
        </w:rPr>
        <w:t>内容每月不定期进行暗检（不少于一次）和明检（每月一次），其中暗检根据扣分情况进行罚金扣减，每扣</w:t>
      </w:r>
      <w:r>
        <w:rPr>
          <w:sz w:val="21"/>
        </w:rPr>
        <w:t>0.5分则直接扣减100元，每月暗检累计扣分分数乘以10%纳入明检扣减分数；</w:t>
      </w:r>
      <w:r>
        <w:rPr>
          <w:sz w:val="21"/>
        </w:rPr>
        <w:t>路面效果月度考核分数</w:t>
      </w:r>
      <w:r>
        <w:rPr>
          <w:sz w:val="21"/>
        </w:rPr>
        <w:t>=100分-（明检问题扣分+暗检累计扣分分数</w:t>
      </w:r>
      <w:r>
        <w:rPr>
          <w:sz w:val="21"/>
        </w:rPr>
        <w:t>×</w:t>
      </w:r>
      <w:r>
        <w:rPr>
          <w:sz w:val="21"/>
        </w:rPr>
        <w:t>10%）。</w:t>
      </w:r>
    </w:p>
    <w:p>
      <w:r>
        <w:rPr>
          <w:sz w:val="21"/>
        </w:rPr>
        <w:t>4.内务考核：甲方按《内务考评月评分表》</w:t>
      </w:r>
      <w:r>
        <w:rPr>
          <w:sz w:val="21"/>
        </w:rPr>
        <w:t>（</w:t>
      </w:r>
      <w:r>
        <w:rPr>
          <w:sz w:val="21"/>
        </w:rPr>
        <w:t>详见合同附件三</w:t>
      </w:r>
      <w:r>
        <w:rPr>
          <w:sz w:val="21"/>
        </w:rPr>
        <w:t>）</w:t>
      </w:r>
      <w:r>
        <w:rPr>
          <w:sz w:val="21"/>
        </w:rPr>
        <w:t>内容每月不定期进行检查（每月一次），以</w:t>
      </w:r>
      <w:r>
        <w:rPr>
          <w:sz w:val="21"/>
        </w:rPr>
        <w:t>100分为基础，减去考核扣减分数得出每月检查成绩作为内务考核分数。</w:t>
      </w:r>
    </w:p>
    <w:p>
      <w:r>
        <w:rPr>
          <w:sz w:val="21"/>
        </w:rPr>
        <w:t>若乙方对于甲方的评分有异议，须在甲方出示当天提出，若经甲方核实，扣分情况不存在的，则甲方可修改该评分。若乙方对于甲方的评分情况没有异议或经双方讨论后，甲方根据实际情况仍认为乙方存在扣分情况，则乙方须服从甲方的评分。</w:t>
      </w:r>
    </w:p>
    <w:p>
      <w:r>
        <w:rPr>
          <w:sz w:val="21"/>
        </w:rPr>
        <w:t>项目实施过程中，甲方可根据实际情况对考核评定进行合理的修改或补充，乙方须无条件接受。</w:t>
      </w:r>
    </w:p>
    <w:p>
      <w:r>
        <w:rPr>
          <w:sz w:val="21"/>
        </w:rPr>
        <w:t>（二）服务费用计算方式</w:t>
      </w:r>
    </w:p>
    <w:p>
      <w:r>
        <w:rPr>
          <w:sz w:val="21"/>
        </w:rPr>
        <w:t>1.月度评分=路面效果考核×60%+信息系统考核×20%+内务考核×20%</w:t>
      </w:r>
    </w:p>
    <w:p>
      <w:r>
        <w:rPr>
          <w:sz w:val="21"/>
        </w:rPr>
        <w:t>2.如月度评分达到85分及85分以上，则不作处罚；84-60分范围内，以85分为基数每减少1分，则扣减当月基础服务费用的1%作为惩罚；低于60分为不合格，扣减当月基础服务费用的30%作为惩罚，甲方并应立即向成交单位发出服务整改限期通知书。若服务期内连续2次或累计3次在整改限期内整改不合格或拒不整改的，甲方有权无条件终止和解除服务合同，并取消乙方的服务资格，一切经济和法律责任由乙方承担。</w:t>
      </w:r>
    </w:p>
    <w:p>
      <w:r>
        <w:rPr>
          <w:sz w:val="21"/>
        </w:rPr>
        <w:t>3.当月应付服务费=当月基础服务费×（1-月度评分对应的扣罚比例）-月暗检扣减罚金</w:t>
      </w:r>
    </w:p>
    <w:p>
      <w:r>
        <w:rPr>
          <w:sz w:val="21"/>
        </w:rPr>
        <w:t>4</w:t>
      </w:r>
      <w:r>
        <w:rPr>
          <w:sz w:val="20"/>
        </w:rPr>
        <w:t>.</w:t>
      </w:r>
      <w:r>
        <w:rPr>
          <w:sz w:val="21"/>
        </w:rPr>
        <w:t>当季度应付服务费</w:t>
      </w:r>
      <w:r>
        <w:rPr>
          <w:sz w:val="21"/>
        </w:rPr>
        <w:t>=当季度每月应付服务费之和</w:t>
      </w:r>
    </w:p>
    <w:p>
      <w:r>
        <w:rPr>
          <w:sz w:val="21"/>
        </w:rPr>
        <w:t>5.</w:t>
      </w:r>
      <w:r>
        <w:rPr>
          <w:sz w:val="21"/>
        </w:rPr>
        <w:t>如月度评分达到</w:t>
      </w:r>
      <w:r>
        <w:rPr>
          <w:sz w:val="21"/>
        </w:rPr>
        <w:t>85</w:t>
      </w:r>
      <w:r>
        <w:rPr>
          <w:sz w:val="21"/>
        </w:rPr>
        <w:t>分及</w:t>
      </w:r>
      <w:r>
        <w:rPr>
          <w:sz w:val="21"/>
        </w:rPr>
        <w:t>85</w:t>
      </w:r>
      <w:r>
        <w:rPr>
          <w:sz w:val="21"/>
        </w:rPr>
        <w:t>分以上，则不作处罚；</w:t>
      </w:r>
      <w:r>
        <w:rPr>
          <w:sz w:val="21"/>
        </w:rPr>
        <w:t>84-60</w:t>
      </w:r>
      <w:r>
        <w:rPr>
          <w:sz w:val="21"/>
        </w:rPr>
        <w:t>分每减少</w:t>
      </w:r>
      <w:r>
        <w:rPr>
          <w:sz w:val="21"/>
        </w:rPr>
        <w:t>1</w:t>
      </w:r>
      <w:r>
        <w:rPr>
          <w:sz w:val="21"/>
        </w:rPr>
        <w:t>分，则扣减当月应付服务费用的</w:t>
      </w:r>
      <w:r>
        <w:rPr>
          <w:sz w:val="21"/>
        </w:rPr>
        <w:t>1%</w:t>
      </w:r>
      <w:r>
        <w:rPr>
          <w:sz w:val="21"/>
        </w:rPr>
        <w:t>作为惩罚；低于</w:t>
      </w:r>
      <w:r>
        <w:rPr>
          <w:sz w:val="21"/>
        </w:rPr>
        <w:t>60</w:t>
      </w:r>
      <w:r>
        <w:rPr>
          <w:sz w:val="21"/>
        </w:rPr>
        <w:t>分为不合格，扣减当月应付服务费用的</w:t>
      </w:r>
      <w:r>
        <w:rPr>
          <w:sz w:val="21"/>
        </w:rPr>
        <w:t>30%</w:t>
      </w:r>
      <w:r>
        <w:rPr>
          <w:sz w:val="21"/>
        </w:rPr>
        <w:t>作为惩罚，甲方应立即向乙方发出服务整改限期通知书；若整改连续</w:t>
      </w:r>
      <w:r>
        <w:rPr>
          <w:sz w:val="21"/>
        </w:rPr>
        <w:t>2</w:t>
      </w:r>
      <w:r>
        <w:rPr>
          <w:sz w:val="21"/>
        </w:rPr>
        <w:t>次不合格的，甲方有权无条件终止和解除服务合同，并取消乙方的服务资格，一切经济和法律责任由乙方承担。</w:t>
      </w:r>
    </w:p>
    <w:p>
      <w:r>
        <w:rPr>
          <w:b/>
          <w:color w:val="000000"/>
          <w:sz w:val="21"/>
        </w:rPr>
        <w:t>六、其他要求</w:t>
      </w:r>
    </w:p>
    <w:p>
      <w:r>
        <w:rPr>
          <w:sz w:val="21"/>
        </w:rPr>
        <w:t>1.签订合同后十五日内，乙方必须提供以下资料进行备案：①人员（项目负责人、项目组长、服务人员）与乙方签订的劳动合同；②车辆购买发票或租赁合同；③不少于200平方米场地的相关证明材料；</w:t>
      </w:r>
    </w:p>
    <w:p>
      <w:r>
        <w:rPr>
          <w:sz w:val="21"/>
        </w:rPr>
        <w:t>2.服务期内，若因乙方原因更换项目负责人和项目组长的，须经甲方书面同意；若因乙方原因更换服务人员的，须重新提交服务人员的备案资料并在当月内补齐；</w:t>
      </w:r>
    </w:p>
    <w:p>
      <w:r>
        <w:rPr>
          <w:sz w:val="21"/>
        </w:rPr>
        <w:t>3.服务期内，若因乙方无力履行合同责任或严重违约或出现重大安全事故的，甲方有权终止合同并不再支付当月服务费。</w:t>
      </w:r>
    </w:p>
    <w:p>
      <w:r>
        <w:rPr>
          <w:sz w:val="21"/>
        </w:rPr>
        <w:t>4.根据中华人民共和国财政部令第102号《政府购买服务管理办法》，乙方应当履行以下义务：①应当按照合同约定提供服务，不得将服务项目转包给其他主体。②应当建立政府购买服务项目台账，依照有关规定或合同约定记录保存并向甲方提供项目实施相关重要资料信息。③应当严格遵守相关财务规定，规范管理和使用政府购买服务项目资金。④应当配合相关部门对资金使用情况进行监督检查与绩效评价。</w:t>
      </w:r>
    </w:p>
    <w:p>
      <w:r>
        <w:rPr>
          <w:sz w:val="21"/>
        </w:rPr>
        <w:t>5.乙方应对服务人员进行安全培训，服务期间出现服务人员的人身或其他安全事故均由乙方负责，与甲方无关。</w:t>
      </w:r>
    </w:p>
    <w:p>
      <w:r>
        <w:rPr>
          <w:sz w:val="21"/>
        </w:rPr>
        <w:t>6.乙方应为服务人员购买社保等基本的保障并及时发放工资，乙方应与服务人员出现的劳务纠纷由乙方负责并及时解决，与甲方无关。</w:t>
      </w:r>
    </w:p>
    <w:p>
      <w:pPr>
        <w:jc w:val="both"/>
      </w:pPr>
      <w:r>
        <w:rPr>
          <w:sz w:val="21"/>
        </w:rPr>
        <w:t>7.本项目以路面劝导为主，也涉及</w:t>
      </w:r>
      <w:r>
        <w:rPr>
          <w:sz w:val="21"/>
        </w:rPr>
        <w:t>突发事件</w:t>
      </w:r>
      <w:r>
        <w:rPr>
          <w:sz w:val="21"/>
        </w:rPr>
        <w:t>、</w:t>
      </w:r>
      <w:r>
        <w:rPr>
          <w:sz w:val="21"/>
        </w:rPr>
        <w:t>大型活动、重大节假日</w:t>
      </w:r>
      <w:r>
        <w:rPr>
          <w:sz w:val="21"/>
        </w:rPr>
        <w:t>应急处理</w:t>
      </w:r>
      <w:r>
        <w:rPr>
          <w:sz w:val="21"/>
        </w:rPr>
        <w:t>，乙方应考虑路面突发情况，拟投入人员中建议包含退伍军人或保安员。</w:t>
      </w:r>
    </w:p>
    <w:p>
      <w:r>
        <w:rPr>
          <w:b/>
          <w:color w:val="000000"/>
          <w:sz w:val="21"/>
        </w:rPr>
        <w:t>七、服务对照执行标准：</w:t>
      </w:r>
    </w:p>
    <w:p>
      <w:r>
        <w:rPr>
          <w:color w:val="000000"/>
          <w:sz w:val="21"/>
        </w:rPr>
        <w:t>1.符合中华人民共和国国家和履约地相关安全质量标准、行业技术规范标准；</w:t>
      </w:r>
    </w:p>
    <w:p>
      <w:r>
        <w:rPr>
          <w:color w:val="000000"/>
          <w:sz w:val="21"/>
        </w:rPr>
        <w:t>2.符合</w:t>
      </w:r>
      <w:r>
        <w:rPr>
          <w:color w:val="000000"/>
          <w:sz w:val="21"/>
        </w:rPr>
        <w:t>竞争性磋商文件</w:t>
      </w:r>
      <w:r>
        <w:rPr>
          <w:color w:val="000000"/>
          <w:sz w:val="21"/>
        </w:rPr>
        <w:t>和响应承诺中各方共同认可的合理要求；</w:t>
      </w:r>
    </w:p>
    <w:p>
      <w:r>
        <w:rPr>
          <w:color w:val="000000"/>
          <w:sz w:val="21"/>
        </w:rPr>
        <w:t>上述各类标准与法规必须是有关官方机构最新发布的现行标准版本。</w:t>
      </w:r>
    </w:p>
    <w:p>
      <w:r>
        <w:rPr>
          <w:b/>
          <w:color w:val="000000"/>
          <w:sz w:val="21"/>
        </w:rPr>
        <w:t>八、投诉跟踪服务要求：</w:t>
      </w:r>
    </w:p>
    <w:p>
      <w:r>
        <w:rPr>
          <w:color w:val="000000"/>
          <w:sz w:val="21"/>
        </w:rPr>
        <w:t>1.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r>
        <w:rPr>
          <w:color w:val="000000"/>
          <w:sz w:val="21"/>
        </w:rPr>
        <w:t>2.</w:t>
      </w:r>
      <w:r>
        <w:rPr>
          <w:color w:val="000000"/>
          <w:sz w:val="21"/>
        </w:rPr>
        <w:t>服务期内，甲方有权按本项目的管理要求对乙方进行不定期抽查检查，若对不合格的管理服务提出警告后，仍未得到有效解决时，甲方有权终止管理合同。</w:t>
      </w:r>
    </w:p>
    <w:p>
      <w:r>
        <w:rPr>
          <w:color w:val="000000"/>
          <w:sz w:val="21"/>
        </w:rPr>
        <w:t>3.乙方服务机构名称及地址：</w:t>
      </w:r>
      <w:r>
        <w:rPr/>
        <w:t xml:space="preserve"> </w:t>
      </w:r>
    </w:p>
    <w:p>
      <w:pPr>
        <w:ind w:firstLine="420"/>
      </w:pPr>
      <w:r>
        <w:rPr>
          <w:color w:val="000000"/>
          <w:sz w:val="21"/>
        </w:rPr>
        <w:t>联系人</w:t>
      </w:r>
      <w:r>
        <w:rPr>
          <w:color w:val="000000"/>
          <w:sz w:val="21"/>
        </w:rPr>
        <w:t>1：          ，联系电话：            ，手机：          ；</w:t>
      </w:r>
    </w:p>
    <w:p>
      <w:pPr>
        <w:ind w:firstLine="420"/>
      </w:pPr>
      <w:r>
        <w:rPr>
          <w:color w:val="000000"/>
          <w:sz w:val="21"/>
        </w:rPr>
        <w:t>联系人</w:t>
      </w:r>
      <w:r>
        <w:rPr>
          <w:color w:val="000000"/>
          <w:sz w:val="21"/>
        </w:rPr>
        <w:t>2：          ，联系电话：            ，手机：          ；</w:t>
      </w:r>
    </w:p>
    <w:p>
      <w:pPr>
        <w:ind w:firstLine="420"/>
      </w:pPr>
      <w:r>
        <w:rPr>
          <w:color w:val="000000"/>
          <w:sz w:val="21"/>
        </w:rPr>
        <w:t>服务专线电话：</w:t>
      </w:r>
    </w:p>
    <w:p>
      <w:pPr>
        <w:ind w:firstLine="420"/>
      </w:pPr>
      <w:r>
        <w:rPr>
          <w:color w:val="000000"/>
          <w:sz w:val="21"/>
        </w:rPr>
        <w:t>4.其他服务要求：（补充内容不得对</w:t>
      </w:r>
      <w:r>
        <w:rPr>
          <w:color w:val="000000"/>
          <w:sz w:val="21"/>
        </w:rPr>
        <w:t>竞争性磋商文件</w:t>
      </w:r>
      <w:r>
        <w:rPr>
          <w:color w:val="000000"/>
          <w:sz w:val="21"/>
        </w:rPr>
        <w:t>和投标</w:t>
      </w:r>
      <w:r>
        <w:rPr>
          <w:color w:val="000000"/>
          <w:sz w:val="21"/>
        </w:rPr>
        <w:t>/响应文件作实质性修改）</w:t>
      </w:r>
    </w:p>
    <w:p>
      <w:r>
        <w:rPr>
          <w:u w:val="single"/>
        </w:rPr>
        <w:t xml:space="preserve">                                                          </w:t>
      </w:r>
      <w:r>
        <w:rPr>
          <w:color w:val="000000"/>
          <w:sz w:val="21"/>
        </w:rPr>
        <w:t>。</w:t>
      </w:r>
    </w:p>
    <w:p>
      <w:r>
        <w:rPr>
          <w:b/>
          <w:color w:val="000000"/>
          <w:sz w:val="21"/>
        </w:rPr>
        <w:t>九、验收要求：</w:t>
      </w:r>
    </w:p>
    <w:p>
      <w:r>
        <w:rPr>
          <w:color w:val="000000"/>
          <w:sz w:val="21"/>
        </w:rPr>
        <w:t>1.甲方在收到乙方项目验收建议之日起</w:t>
      </w:r>
      <w:r>
        <w:rPr>
          <w:color w:val="000000"/>
          <w:sz w:val="21"/>
        </w:rPr>
        <w:t>7日内按照合同的约定对履约情况进行验收。乙方需为验收提供必需的一切条件及相关费用，并提供本项目的相关文档和验收所需资料，积极配合甲方完成验收工作。</w:t>
      </w:r>
    </w:p>
    <w:p>
      <w:r>
        <w:rPr>
          <w:color w:val="000000"/>
          <w:sz w:val="21"/>
        </w:rPr>
        <w:t>2.其他验收要求：（补充内容不得对</w:t>
      </w:r>
      <w:r>
        <w:rPr>
          <w:color w:val="000000"/>
          <w:sz w:val="21"/>
        </w:rPr>
        <w:t>竞争性磋商文件</w:t>
      </w:r>
      <w:r>
        <w:rPr>
          <w:color w:val="000000"/>
          <w:sz w:val="21"/>
        </w:rPr>
        <w:t>和投标</w:t>
      </w:r>
      <w:r>
        <w:rPr>
          <w:color w:val="000000"/>
          <w:sz w:val="21"/>
        </w:rPr>
        <w:t>/响应文件作实质性修改）</w:t>
      </w:r>
    </w:p>
    <w:p>
      <w:pPr>
        <w:ind w:firstLine="420"/>
      </w:pPr>
      <w:r>
        <w:rPr>
          <w:u w:val="single"/>
        </w:rPr>
        <w:t xml:space="preserve">                                                                </w:t>
      </w:r>
      <w:r>
        <w:rPr>
          <w:color w:val="000000"/>
          <w:sz w:val="21"/>
        </w:rPr>
        <w:t>。</w:t>
      </w:r>
    </w:p>
    <w:p>
      <w:r>
        <w:rPr>
          <w:b/>
          <w:color w:val="000000"/>
          <w:sz w:val="21"/>
        </w:rPr>
        <w:t>十、知识产权和保密要求：</w:t>
      </w:r>
    </w:p>
    <w:p>
      <w:r>
        <w:rPr>
          <w:sz w:val="21"/>
        </w:rPr>
        <w:t>1.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r>
        <w:rPr>
          <w:sz w:val="21"/>
        </w:rPr>
        <w:t>2.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r>
        <w:rPr>
          <w:sz w:val="21"/>
        </w:rPr>
        <w:t>2）除了合同本身之外，上款所列举的任何物件均是甲方的财产。如果甲方有要求，乙方在完成合同后应将这些物件及全部复制件还给甲方。</w:t>
      </w:r>
    </w:p>
    <w:p>
      <w:r>
        <w:rPr>
          <w:b/>
          <w:color w:val="000000"/>
          <w:sz w:val="21"/>
        </w:rPr>
        <w:t>十一、违约责任：</w:t>
      </w:r>
    </w:p>
    <w:p>
      <w:r>
        <w:rPr>
          <w:sz w:val="21"/>
        </w:rPr>
        <w:t>1.乙方</w:t>
      </w:r>
      <w:r>
        <w:rPr>
          <w:sz w:val="21"/>
        </w:rPr>
        <w:t>提供的服务不符合</w:t>
      </w:r>
      <w:r>
        <w:rPr>
          <w:sz w:val="21"/>
        </w:rPr>
        <w:t>竞争性磋商文件</w:t>
      </w:r>
      <w:r>
        <w:rPr>
          <w:sz w:val="21"/>
        </w:rPr>
        <w:t>、</w:t>
      </w:r>
      <w:r>
        <w:rPr>
          <w:sz w:val="21"/>
        </w:rPr>
        <w:t>响应文件</w:t>
      </w:r>
      <w:r>
        <w:rPr>
          <w:sz w:val="21"/>
        </w:rPr>
        <w:t>或本合同规定的，甲方有权拒收，并且乙方须向甲方支付本合同总价</w:t>
      </w:r>
      <w:r>
        <w:rPr>
          <w:sz w:val="21"/>
        </w:rPr>
        <w:t>5%的违约金</w:t>
      </w:r>
      <w:r>
        <w:rPr>
          <w:sz w:val="21"/>
        </w:rPr>
        <w:t>并在甲方规定的期限内更正，乙方不予更正或更正后仍不符合合同约定的，甲方有权解除合同，</w:t>
      </w:r>
      <w:r>
        <w:rPr>
          <w:sz w:val="21"/>
        </w:rPr>
        <w:t>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r>
        <w:rPr>
          <w:sz w:val="21"/>
        </w:rPr>
        <w:t>2.</w:t>
      </w:r>
      <w:r>
        <w:rPr>
          <w:sz w:val="21"/>
        </w:rPr>
        <w:t>乙方未能按本合同规定的时间提供服务，从逾期之日起每日按本合同总价</w:t>
      </w:r>
      <w:r>
        <w:rPr>
          <w:sz w:val="21"/>
        </w:rPr>
        <w:t>万分之五</w:t>
      </w:r>
      <w:r>
        <w:rPr>
          <w:sz w:val="21"/>
        </w:rPr>
        <w:t>的数额向甲方支付违约金；逾期</w:t>
      </w:r>
      <w:r>
        <w:rPr>
          <w:sz w:val="21"/>
        </w:rPr>
        <w:t>15天以上（含15天）的，甲方有权终止合同，要求乙方支付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r>
        <w:rPr>
          <w:sz w:val="21"/>
        </w:rPr>
        <w:t>3.甲方无正当理由拒</w:t>
      </w:r>
      <w:r>
        <w:rPr>
          <w:sz w:val="21"/>
        </w:rPr>
        <w:t>绝</w:t>
      </w:r>
      <w:r>
        <w:rPr>
          <w:sz w:val="21"/>
        </w:rPr>
        <w:t>服务，到期拒付服务款项</w:t>
      </w:r>
      <w:r>
        <w:rPr>
          <w:sz w:val="21"/>
        </w:rPr>
        <w:t>的，甲方向乙方偿付本合同总价的</w:t>
      </w:r>
      <w:r>
        <w:rPr>
          <w:sz w:val="21"/>
        </w:rPr>
        <w:t>5%</w:t>
      </w:r>
      <w:r>
        <w:rPr>
          <w:sz w:val="21"/>
        </w:rPr>
        <w:t>作为</w:t>
      </w:r>
      <w:r>
        <w:rPr>
          <w:sz w:val="21"/>
        </w:rPr>
        <w:t>违约金。甲方逾期付款，则每日按本合同总价的</w:t>
      </w:r>
      <w:r>
        <w:rPr>
          <w:sz w:val="21"/>
        </w:rPr>
        <w:t>万分之五</w:t>
      </w:r>
      <w:r>
        <w:rPr>
          <w:sz w:val="21"/>
        </w:rPr>
        <w:t>向乙方偿付违约金。</w:t>
      </w:r>
    </w:p>
    <w:p>
      <w:r>
        <w:rPr>
          <w:color w:val="000000"/>
          <w:sz w:val="21"/>
        </w:rPr>
        <w:t>4.除政府采购合同继续履行将损害国家利益和社会公共利益外，</w:t>
      </w:r>
      <w:r>
        <w:rPr>
          <w:color w:val="000000"/>
          <w:sz w:val="21"/>
        </w:rPr>
        <w:t>甲乙</w:t>
      </w:r>
      <w:r>
        <w:rPr>
          <w:color w:val="000000"/>
          <w:sz w:val="21"/>
        </w:rPr>
        <w:t>双方当事人不得擅自变更、中止或者终止合同。</w:t>
      </w:r>
      <w:r>
        <w:rPr>
          <w:sz w:val="21"/>
        </w:rPr>
        <w:t>因</w:t>
      </w:r>
      <w:r>
        <w:rPr>
          <w:sz w:val="21"/>
        </w:rPr>
        <w:t>任意一方</w:t>
      </w:r>
      <w:r>
        <w:rPr>
          <w:sz w:val="21"/>
        </w:rPr>
        <w:t>原因导致变更、中止或者终止政府采购合同的，</w:t>
      </w:r>
      <w:r>
        <w:rPr>
          <w:sz w:val="21"/>
        </w:rPr>
        <w:t>应</w:t>
      </w:r>
      <w:r>
        <w:rPr>
          <w:sz w:val="21"/>
        </w:rPr>
        <w:t>向</w:t>
      </w:r>
      <w:r>
        <w:rPr>
          <w:sz w:val="21"/>
        </w:rPr>
        <w:t>另一</w:t>
      </w:r>
      <w:r>
        <w:rPr>
          <w:sz w:val="21"/>
        </w:rPr>
        <w:t>方偿付本合同总价的</w:t>
      </w:r>
      <w:r>
        <w:rPr>
          <w:sz w:val="21"/>
        </w:rPr>
        <w:t>5%</w:t>
      </w:r>
      <w:r>
        <w:rPr>
          <w:sz w:val="21"/>
        </w:rPr>
        <w:t>作为</w:t>
      </w:r>
      <w:r>
        <w:rPr>
          <w:sz w:val="21"/>
        </w:rPr>
        <w:t>违约金。</w:t>
      </w:r>
    </w:p>
    <w:p>
      <w:r>
        <w:rPr>
          <w:sz w:val="21"/>
        </w:rPr>
        <w:t>5.其它违约责任按《中华人民共和国民法典》处理。</w:t>
      </w:r>
    </w:p>
    <w:p>
      <w:r>
        <w:rPr>
          <w:b/>
          <w:color w:val="000000"/>
          <w:sz w:val="21"/>
        </w:rPr>
        <w:t>十二、提出异议的时间和方法：</w:t>
      </w:r>
    </w:p>
    <w:p>
      <w:r>
        <w:rPr>
          <w:color w:val="000000"/>
          <w:sz w:val="21"/>
        </w:rPr>
        <w:t>1.甲方有异议时，应</w:t>
      </w:r>
      <w:r>
        <w:rPr>
          <w:u w:val="single"/>
        </w:rPr>
        <w:t xml:space="preserve">     </w:t>
      </w:r>
      <w:r>
        <w:rPr>
          <w:color w:val="000000"/>
          <w:sz w:val="21"/>
        </w:rPr>
        <w:t>天内向乙方提出书面异议。</w:t>
      </w:r>
    </w:p>
    <w:p>
      <w:r>
        <w:rPr>
          <w:color w:val="000000"/>
          <w:sz w:val="21"/>
        </w:rPr>
        <w:t>2.乙方在接到甲方书面异议后，应在</w:t>
      </w:r>
      <w:r>
        <w:rPr>
          <w:color w:val="000000"/>
          <w:sz w:val="21"/>
        </w:rPr>
        <w:t>3天内负责处理并函复甲方处理情况，否则，即视为默认甲方提出的异议和处理意见。</w:t>
      </w:r>
    </w:p>
    <w:p>
      <w:r>
        <w:rPr>
          <w:color w:val="000000"/>
          <w:sz w:val="21"/>
        </w:rPr>
        <w:t>3.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r>
        <w:rPr>
          <w:b/>
          <w:color w:val="000000"/>
          <w:sz w:val="21"/>
        </w:rPr>
        <w:t>十三、争议的解决：</w:t>
      </w:r>
    </w:p>
    <w:p>
      <w:r>
        <w:rPr>
          <w:color w:val="000000"/>
          <w:sz w:val="21"/>
        </w:rPr>
        <w:t>1.合同履行过程中发生的任何争议，如双方未能通过友好协商解决，应向</w:t>
      </w:r>
      <w:r>
        <w:rPr>
          <w:color w:val="000000"/>
          <w:sz w:val="21"/>
        </w:rPr>
        <w:t>甲方所在地</w:t>
      </w:r>
      <w:r>
        <w:rPr>
          <w:color w:val="000000"/>
          <w:sz w:val="21"/>
        </w:rPr>
        <w:t>人民法院提起诉讼。</w:t>
      </w:r>
      <w:r>
        <w:rPr>
          <w:color w:val="000000"/>
          <w:sz w:val="21"/>
        </w:rPr>
        <w:t>律师费、诉讼费等维权费用由败诉方承担。</w:t>
      </w:r>
    </w:p>
    <w:p>
      <w:r>
        <w:rPr>
          <w:color w:val="000000"/>
          <w:sz w:val="21"/>
        </w:rPr>
        <w:t>2.法院审理期间，除提交法院审理的事项外，其它无争议的事项和条款仍应继续履行。</w:t>
      </w:r>
    </w:p>
    <w:p>
      <w:r>
        <w:rPr>
          <w:b/>
          <w:color w:val="000000"/>
          <w:sz w:val="21"/>
        </w:rPr>
        <w:t>十四、不可抗力：</w:t>
      </w:r>
    </w:p>
    <w:p>
      <w:pPr>
        <w:ind w:firstLine="420"/>
      </w:pPr>
      <w:r>
        <w:rPr>
          <w:color w:val="000000"/>
          <w:sz w:val="21"/>
        </w:rPr>
        <w:t>任何一方由于不可抗力原因不能履行合同时，应在不可抗力事件结束后</w:t>
      </w:r>
      <w:r>
        <w:rPr>
          <w:color w:val="000000"/>
          <w:sz w:val="21"/>
        </w:rPr>
        <w:t>48小时内向对方通报，以减轻可能给对方造成的损失，在取得有关机构的不可抗力证明或双方谅解确认后，允许延期履行或修订合同，并根据情况可部分或全部免于承担违约责任。</w:t>
      </w:r>
    </w:p>
    <w:p>
      <w:r>
        <w:rPr>
          <w:b/>
          <w:color w:val="000000"/>
          <w:sz w:val="21"/>
        </w:rPr>
        <w:t>十五、税费：</w:t>
      </w:r>
    </w:p>
    <w:p>
      <w:r>
        <w:rPr>
          <w:color w:val="000000"/>
          <w:sz w:val="21"/>
        </w:rPr>
        <w:t>1.本合同实施过程中所发生的一切税费及不可预见费均由乙方承担。</w:t>
      </w:r>
    </w:p>
    <w:p>
      <w:r>
        <w:rPr>
          <w:color w:val="000000"/>
          <w:sz w:val="21"/>
        </w:rPr>
        <w:t>2.乙方依照税务规章优先在合同履约地开具发票及纳税，咨询：</w:t>
      </w:r>
      <w:r>
        <w:rPr>
          <w:color w:val="000000"/>
          <w:sz w:val="21"/>
        </w:rPr>
        <w:t>0757-12366。</w:t>
      </w:r>
    </w:p>
    <w:p>
      <w:r>
        <w:rPr>
          <w:b/>
          <w:color w:val="000000"/>
          <w:sz w:val="21"/>
        </w:rPr>
        <w:t>十六、合同生效与合同备案：</w:t>
      </w:r>
    </w:p>
    <w:p>
      <w:r>
        <w:rPr>
          <w:color w:val="000000"/>
          <w:sz w:val="21"/>
        </w:rPr>
        <w:t>1.本合同在甲乙双方法人代表或其授权代表签字盖章后生效。</w:t>
      </w:r>
    </w:p>
    <w:p>
      <w:r>
        <w:rPr>
          <w:color w:val="000000"/>
          <w:sz w:val="21"/>
        </w:rPr>
        <w:t>2.自采购合同签订之日起</w:t>
      </w:r>
      <w:r>
        <w:rPr>
          <w:color w:val="000000"/>
          <w:sz w:val="21"/>
        </w:rPr>
        <w:t>7个工作日内，由甲方按照有关规定将采购合同副本报同级人民政府财政部门（政府采购管理部门）备案。</w:t>
      </w:r>
    </w:p>
    <w:p>
      <w:r>
        <w:rPr>
          <w:b/>
          <w:color w:val="000000"/>
          <w:sz w:val="21"/>
        </w:rPr>
        <w:t>十七、乙方应提供的资料内容：</w:t>
      </w:r>
    </w:p>
    <w:p>
      <w:r>
        <w:rPr>
          <w:u w:val="single"/>
        </w:rPr>
        <w:t xml:space="preserve">                                                            </w:t>
      </w:r>
      <w:r>
        <w:rPr>
          <w:color w:val="000000"/>
          <w:sz w:val="21"/>
        </w:rPr>
        <w:t>。</w:t>
      </w:r>
    </w:p>
    <w:p>
      <w:r>
        <w:rPr>
          <w:b/>
          <w:color w:val="000000"/>
          <w:sz w:val="21"/>
        </w:rPr>
        <w:t>十八、关于政府采购合同融资</w:t>
      </w:r>
    </w:p>
    <w:p>
      <w:r>
        <w:rPr>
          <w:color w:val="000000"/>
          <w:sz w:val="21"/>
        </w:rPr>
        <w:t>1.乙方是否已申请政府采购合同融资：</w:t>
      </w:r>
      <w:r>
        <w:rPr>
          <w:color w:val="000000"/>
          <w:sz w:val="21"/>
          <w:u w:val="single"/>
        </w:rPr>
        <w:t xml:space="preserve">  </w:t>
      </w:r>
      <w:r>
        <w:rPr>
          <w:color w:val="000000"/>
          <w:sz w:val="21"/>
          <w:u w:val="single"/>
        </w:rPr>
        <w:t>是</w:t>
      </w:r>
      <w:r>
        <w:rPr>
          <w:color w:val="000000"/>
          <w:sz w:val="21"/>
          <w:u w:val="single"/>
        </w:rPr>
        <w:t xml:space="preserve"> </w:t>
      </w:r>
      <w:r>
        <w:rPr>
          <w:color w:val="000000"/>
          <w:sz w:val="21"/>
          <w:u w:val="single"/>
        </w:rPr>
        <w:t xml:space="preserve">/ 否  </w:t>
      </w:r>
      <w:r>
        <w:rPr>
          <w:color w:val="000000"/>
          <w:sz w:val="21"/>
        </w:rPr>
        <w:t>；</w:t>
      </w:r>
    </w:p>
    <w:p>
      <w:r>
        <w:rPr>
          <w:color w:val="000000"/>
          <w:sz w:val="21"/>
        </w:rPr>
        <w:t>2.融资银行及联系方式：</w:t>
      </w:r>
      <w:r>
        <w:rPr>
          <w:u w:val="single"/>
        </w:rPr>
        <w:t xml:space="preserve">                                                </w:t>
      </w:r>
      <w:r>
        <w:rPr>
          <w:color w:val="000000"/>
          <w:sz w:val="21"/>
        </w:rPr>
        <w:t>。</w:t>
      </w:r>
    </w:p>
    <w:p>
      <w:r>
        <w:rPr>
          <w:color w:val="000000"/>
          <w:sz w:val="21"/>
        </w:rPr>
        <w:t>3.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color w:val="000000"/>
          <w:sz w:val="21"/>
        </w:rPr>
        <w:t>。</w:t>
      </w:r>
    </w:p>
    <w:p>
      <w:r>
        <w:rPr>
          <w:b/>
          <w:color w:val="000000"/>
          <w:sz w:val="21"/>
        </w:rPr>
        <w:t>十九、其它：</w:t>
      </w:r>
    </w:p>
    <w:p>
      <w:r>
        <w:rPr>
          <w:color w:val="000000"/>
          <w:sz w:val="21"/>
        </w:rPr>
        <w:t>1.所有经一方或双方签署确认的文件（包括会议纪要、补充协议、往来信函）、</w:t>
      </w:r>
      <w:r>
        <w:rPr>
          <w:color w:val="000000"/>
          <w:sz w:val="21"/>
        </w:rPr>
        <w:t>竞争性磋商文件</w:t>
      </w:r>
      <w:r>
        <w:rPr>
          <w:color w:val="000000"/>
          <w:sz w:val="21"/>
        </w:rPr>
        <w:t>、要约文件和响应承诺文件、合同附件及中标（成交）通知书均为本合同不可分割的有效组成部分，与本合同具有同等的法律效力和履约义务，其缔约生效日期为有效签署或盖章确认之日期。</w:t>
      </w:r>
    </w:p>
    <w:p>
      <w:r>
        <w:rPr>
          <w:color w:val="000000"/>
          <w:sz w:val="21"/>
        </w:rPr>
        <w:t>2.如一方（包括联系人）地址、电话、传真号码有变更，应在变更后</w:t>
      </w:r>
      <w:r>
        <w:rPr>
          <w:color w:val="000000"/>
          <w:sz w:val="21"/>
        </w:rPr>
        <w:t>3个工作日内书面通知对方联系人或负责人，否则，因此造成的损失由未履行通知义务方承担相应责任。</w:t>
      </w:r>
    </w:p>
    <w:p>
      <w:r>
        <w:rPr>
          <w:color w:val="000000"/>
          <w:sz w:val="21"/>
        </w:rPr>
        <w:t>3.未经甲方书面同意，乙方不得擅自向第三方转让其主体性和关键性合同义务。</w:t>
      </w:r>
    </w:p>
    <w:p>
      <w:r>
        <w:rPr>
          <w:color w:val="000000"/>
          <w:sz w:val="21"/>
        </w:rPr>
        <w:t>4.本合同一式</w:t>
      </w:r>
      <w:r>
        <w:rPr>
          <w:u w:val="single"/>
        </w:rPr>
        <w:t xml:space="preserve">    </w:t>
      </w:r>
      <w:r>
        <w:rPr>
          <w:color w:val="000000"/>
          <w:sz w:val="21"/>
        </w:rPr>
        <w:t>份，甲方执</w:t>
      </w:r>
      <w:r>
        <w:rPr>
          <w:u w:val="single"/>
        </w:rPr>
        <w:t xml:space="preserve">   </w:t>
      </w:r>
      <w:r>
        <w:rPr>
          <w:color w:val="000000"/>
          <w:sz w:val="21"/>
        </w:rPr>
        <w:t>份，乙方执</w:t>
      </w:r>
      <w:r>
        <w:rPr>
          <w:u w:val="single"/>
        </w:rPr>
        <w:t xml:space="preserve">   </w:t>
      </w:r>
      <w:r>
        <w:rPr>
          <w:color w:val="000000"/>
          <w:sz w:val="21"/>
        </w:rPr>
        <w:t>份</w:t>
      </w:r>
      <w:r>
        <w:rPr>
          <w:color w:val="000000"/>
          <w:sz w:val="21"/>
        </w:rPr>
        <w:t>，</w:t>
      </w:r>
      <w:r>
        <w:rPr>
          <w:color w:val="000000"/>
          <w:sz w:val="21"/>
        </w:rPr>
        <w:t>代理机构执壹份</w:t>
      </w:r>
      <w:r>
        <w:rPr>
          <w:color w:val="000000"/>
          <w:sz w:val="21"/>
        </w:rPr>
        <w:t>。</w:t>
      </w:r>
    </w:p>
    <w:p>
      <w:r>
        <w:rPr>
          <w:color w:val="000000"/>
          <w:sz w:val="21"/>
        </w:rPr>
        <w:t>5.本合同（含附件）共计</w:t>
      </w:r>
      <w:r>
        <w:rPr>
          <w:u w:val="single"/>
        </w:rPr>
        <w:t xml:space="preserve">    </w:t>
      </w:r>
      <w:r>
        <w:rPr>
          <w:color w:val="000000"/>
          <w:sz w:val="21"/>
        </w:rPr>
        <w:t>页，缺页之合同为无效合同。</w:t>
      </w:r>
    </w:p>
    <w:p>
      <w:r>
        <w:rPr>
          <w:color w:val="000000"/>
          <w:sz w:val="21"/>
        </w:rPr>
        <w:t>6.本合同签约履约地点：广东省佛山市。</w:t>
      </w:r>
    </w:p>
    <w:p>
      <w:r>
        <w:rPr>
          <w:color w:val="000000"/>
          <w:sz w:val="21"/>
        </w:rPr>
        <w:t>7.本合同所指</w:t>
      </w:r>
      <w:r>
        <w:rPr>
          <w:color w:val="000000"/>
          <w:sz w:val="21"/>
        </w:rPr>
        <w:t>“书面通知”包括但不限于短信、电子邮件等数据电文的通知形式，到达时间以民事诉讼法的规定为准，但进行书面通知前后，通知方均有义务电话确认通知事项。</w:t>
      </w:r>
    </w:p>
    <w:p>
      <w:r>
        <w:rPr>
          <w:color w:val="000000"/>
          <w:sz w:val="21"/>
        </w:rPr>
        <w:t>8.双方均已对以上各条款及附件作充分了解，并明确理解由此而产生的相关权责。</w:t>
      </w:r>
    </w:p>
    <w:p/>
    <w:tbl>
      <w:tblPr>
        <w:tblW w:w="0" w:type="auto"/>
        <w:tblBorders>
          <w:top w:val="none" w:color="000000" w:sz="4"/>
          <w:left w:val="none" w:color="000000" w:sz="4"/>
          <w:bottom w:val="none" w:color="000000" w:sz="4"/>
          <w:right w:val="none" w:color="000000" w:sz="4"/>
          <w:insideH w:val="none"/>
          <w:insideV w:val="none"/>
        </w:tblBorders>
      </w:tblPr>
      <w:tblGrid>
        <w:gridCol w:w="4219"/>
        <w:gridCol w:w="3943"/>
        <w:gridCol w:w="144"/>
      </w:tblGrid>
      <w:tr>
        <w:tc>
          <w:tcPr>
            <w:tcW w:type="dxa" w:w="4219"/>
            <w:tcBorders>
              <w:top w:val="none" w:color="000000" w:sz="4"/>
              <w:left w:val="none" w:color="000000" w:sz="4"/>
              <w:bottom w:val="none" w:color="000000" w:sz="4"/>
              <w:right w:val="dashed" w:color="000000" w:sz="4"/>
            </w:tcBorders>
            <w:vAlign w:val="top"/>
          </w:tcPr>
          <w:p>
            <w:r>
              <w:rPr>
                <w:b/>
                <w:color w:val="000000"/>
                <w:sz w:val="21"/>
              </w:rPr>
              <w:t>甲方（盖章）：</w:t>
            </w:r>
          </w:p>
          <w:p>
            <w:r>
              <w:rPr>
                <w:color w:val="000000"/>
                <w:sz w:val="21"/>
              </w:rPr>
              <w:t>代表：</w:t>
            </w:r>
            <w:r>
              <w:rPr>
                <w:sz w:val="19"/>
                <w:u w:val="single"/>
              </w:rPr>
              <w:t xml:space="preserve">                              </w:t>
            </w:r>
            <w:r>
              <w:rPr>
                <w:sz w:val="19"/>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3943"/>
            <w:tcBorders>
              <w:top w:val="none" w:color="000000" w:sz="4"/>
              <w:left w:val="none" w:color="000000" w:sz="4"/>
              <w:bottom w:val="none" w:color="000000" w:sz="4"/>
              <w:right w:val="none" w:color="000000" w:sz="4"/>
            </w:tcBorders>
            <w:vAlign w:val="top"/>
          </w:tcPr>
          <w:p>
            <w:r>
              <w:rPr>
                <w:b/>
                <w:color w:val="000000"/>
                <w:sz w:val="21"/>
              </w:rPr>
              <w:t>乙方（盖章）：</w:t>
            </w:r>
          </w:p>
          <w:p>
            <w:r>
              <w:rPr>
                <w:color w:val="000000"/>
                <w:sz w:val="21"/>
              </w:rPr>
              <w:t>代表：</w:t>
            </w:r>
            <w:r>
              <w:rPr>
                <w:sz w:val="19"/>
                <w:u w:val="single"/>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144"/>
            <w:tcBorders>
              <w:top w:val="none" w:color="000000" w:sz="4"/>
              <w:left w:val="none" w:color="000000" w:sz="4"/>
              <w:bottom w:val="none" w:color="000000" w:sz="4"/>
              <w:right w:val="none" w:color="000000" w:sz="4"/>
            </w:tcBorders>
          </w:tcPr>
          <w:p>
            <w:r>
              <w:rPr>
                <w:sz w:val="19"/>
              </w:rPr>
              <w:t xml:space="preserve"> </w:t>
            </w:r>
          </w:p>
        </w:tc>
      </w:tr>
      <w:tr>
        <w:tc>
          <w:tcPr>
            <w:tcW w:type="dxa" w:w="4219"/>
            <w:tcBorders>
              <w:top w:val="none" w:color="000000" w:sz="4"/>
              <w:left w:val="none" w:color="000000" w:sz="4"/>
              <w:bottom w:val="single" w:color="FFFFFF" w:sz="4"/>
              <w:right w:val="dashed" w:color="000000" w:sz="4"/>
            </w:tcBorders>
            <w:vAlign w:val="top"/>
          </w:tcPr>
          <w:p/>
          <w:p/>
        </w:tc>
        <w:tc>
          <w:tcPr>
            <w:tcW w:type="dxa" w:w="4087"/>
            <w:gridSpan w:val="2"/>
            <w:tcBorders>
              <w:top w:val="none" w:color="000000" w:sz="4"/>
              <w:left w:val="none" w:color="000000" w:sz="4"/>
              <w:bottom w:val="single" w:color="FFFFFF" w:sz="4"/>
              <w:right w:val="none" w:color="000000" w:sz="4"/>
            </w:tcBorders>
            <w:vAlign w:val="top"/>
          </w:tcPr>
          <w:p/>
          <w:p>
            <w:r>
              <w:rPr>
                <w:b/>
                <w:color w:val="000000"/>
                <w:sz w:val="21"/>
              </w:rPr>
              <w:t>收款方、开票方须与乙方一致，专户为：</w:t>
            </w:r>
          </w:p>
          <w:p>
            <w:r>
              <w:rPr>
                <w:color w:val="000000"/>
                <w:sz w:val="21"/>
              </w:rPr>
              <w:t>开户名称：</w:t>
            </w:r>
          </w:p>
          <w:p>
            <w:r>
              <w:rPr>
                <w:color w:val="000000"/>
                <w:sz w:val="21"/>
              </w:rPr>
              <w:t>银行账号：</w:t>
            </w:r>
          </w:p>
          <w:p>
            <w:r>
              <w:rPr>
                <w:color w:val="000000"/>
                <w:sz w:val="21"/>
              </w:rPr>
              <w:t>开</w:t>
            </w:r>
            <w:r>
              <w:rPr>
                <w:color w:val="000000"/>
                <w:sz w:val="21"/>
              </w:rPr>
              <w:t>户</w:t>
            </w:r>
            <w:r>
              <w:rPr>
                <w:color w:val="000000"/>
                <w:sz w:val="21"/>
              </w:rPr>
              <w:t>行：</w:t>
            </w:r>
          </w:p>
        </w:tc>
      </w:tr>
    </w:tbl>
    <w:p>
      <w:r>
        <w:rPr>
          <w:b/>
          <w:color w:val="000000"/>
          <w:sz w:val="21"/>
        </w:rPr>
        <w:t>见证单位（盖章）：佛山市信悦咨询有限公司</w:t>
      </w:r>
    </w:p>
    <w:p>
      <w:r>
        <w:rPr>
          <w:sz w:val="21"/>
        </w:rPr>
        <w:t>见证人</w:t>
      </w:r>
      <w:r>
        <w:rPr>
          <w:sz w:val="21"/>
        </w:rPr>
        <w:t>:</w:t>
      </w:r>
    </w:p>
    <w:p>
      <w:r>
        <w:rPr>
          <w:sz w:val="21"/>
        </w:rPr>
        <w:t>合同见证日期：</w:t>
      </w:r>
      <w:r>
        <w:rPr>
          <w:sz w:val="21"/>
        </w:rPr>
        <w:t xml:space="preserve"> </w:t>
      </w:r>
      <w:r>
        <w:rPr>
          <w:sz w:val="21"/>
        </w:rPr>
        <w:t>年</w:t>
      </w:r>
      <w:r>
        <w:rPr>
          <w:sz w:val="21"/>
        </w:rPr>
        <w:t xml:space="preserve">  </w:t>
      </w:r>
      <w:r>
        <w:rPr>
          <w:sz w:val="21"/>
        </w:rPr>
        <w:t>月</w:t>
      </w:r>
      <w:r>
        <w:rPr>
          <w:sz w:val="21"/>
        </w:rPr>
        <w:t xml:space="preserve">  </w:t>
      </w:r>
      <w:r>
        <w:rPr>
          <w:sz w:val="21"/>
        </w:rPr>
        <w:t>日</w:t>
      </w:r>
    </w:p>
    <w:p/>
    <w:p/>
    <w:p>
      <w:r>
        <w:rPr>
          <w:b/>
          <w:color w:val="000000"/>
          <w:sz w:val="21"/>
        </w:rPr>
        <w:t>合同附件清单：</w:t>
      </w:r>
    </w:p>
    <w:p>
      <w:r>
        <w:rPr>
          <w:b/>
          <w:color w:val="000000"/>
          <w:sz w:val="21"/>
        </w:rPr>
        <w:t>附件</w:t>
      </w:r>
      <w:r>
        <w:rPr>
          <w:b/>
          <w:color w:val="000000"/>
          <w:sz w:val="21"/>
        </w:rPr>
        <w:t>一</w:t>
      </w:r>
      <w:r>
        <w:rPr>
          <w:b/>
          <w:color w:val="000000"/>
          <w:sz w:val="21"/>
        </w:rPr>
        <w:t>、《路面考评月评分表》</w:t>
      </w:r>
    </w:p>
    <w:p>
      <w:r>
        <w:rPr>
          <w:b/>
          <w:color w:val="000000"/>
          <w:sz w:val="21"/>
        </w:rPr>
        <w:t>附件</w:t>
      </w:r>
      <w:r>
        <w:rPr>
          <w:b/>
          <w:color w:val="000000"/>
          <w:sz w:val="21"/>
        </w:rPr>
        <w:t>二</w:t>
      </w:r>
      <w:r>
        <w:rPr>
          <w:b/>
          <w:color w:val="000000"/>
          <w:sz w:val="21"/>
        </w:rPr>
        <w:t>、</w:t>
      </w:r>
      <w:r>
        <w:rPr>
          <w:b/>
          <w:color w:val="000000"/>
          <w:sz w:val="21"/>
        </w:rPr>
        <w:t>《路面效果月度考核汇总表》</w:t>
      </w:r>
    </w:p>
    <w:p>
      <w:r>
        <w:rPr>
          <w:b/>
          <w:color w:val="000000"/>
          <w:sz w:val="21"/>
        </w:rPr>
        <w:t>附件</w:t>
      </w:r>
      <w:r>
        <w:rPr>
          <w:b/>
          <w:color w:val="000000"/>
          <w:sz w:val="21"/>
        </w:rPr>
        <w:t>三</w:t>
      </w:r>
      <w:r>
        <w:rPr>
          <w:b/>
          <w:color w:val="000000"/>
          <w:sz w:val="21"/>
        </w:rPr>
        <w:t>、《内务考评月评分表》</w:t>
      </w:r>
    </w:p>
    <w:p/>
    <w:p/>
    <w:p/>
    <w:p>
      <w:pPr>
        <w:ind w:firstLine="211"/>
      </w:pPr>
      <w:r>
        <w:rPr>
          <w:b/>
          <w:sz w:val="21"/>
        </w:rPr>
        <w:t>附件一</w:t>
      </w:r>
      <w:r>
        <w:rPr>
          <w:b/>
          <w:sz w:val="21"/>
        </w:rPr>
        <w:t>《路面考评月评分表》</w:t>
      </w:r>
    </w:p>
    <w:p/>
    <w:tbl>
      <w:tblPr>
        <w:tblW w:w="0" w:type="auto"/>
        <w:tblBorders>
          <w:top w:val="none" w:color="000000" w:sz="4"/>
          <w:left w:val="none" w:color="000000" w:sz="4"/>
          <w:bottom w:val="none" w:color="000000" w:sz="4"/>
          <w:right w:val="none" w:color="000000" w:sz="4"/>
          <w:insideH w:val="none"/>
          <w:insideV w:val="none"/>
        </w:tblBorders>
      </w:tblPr>
      <w:tblGrid>
        <w:gridCol w:w="674"/>
        <w:gridCol w:w="3910"/>
        <w:gridCol w:w="1942"/>
        <w:gridCol w:w="944"/>
        <w:gridCol w:w="836"/>
      </w:tblGrid>
      <w:tr>
        <w:tc>
          <w:tcPr>
            <w:tcW w:type="dxa" w:w="8306"/>
            <w:gridSpan w:val="5"/>
            <w:tcBorders>
              <w:top w:val="single" w:color="000000" w:sz="4"/>
              <w:left w:val="single" w:color="000000" w:sz="4"/>
              <w:bottom w:val="single" w:color="000000" w:sz="4"/>
              <w:right w:val="single" w:color="000000" w:sz="4"/>
            </w:tcBorders>
            <w:vAlign w:val="top"/>
          </w:tcPr>
          <w:p>
            <w:pPr>
              <w:jc w:val="center"/>
            </w:pPr>
            <w:r>
              <w:rPr>
                <w:sz w:val="21"/>
              </w:rPr>
              <w:t>南庄镇市容环境管理文明劝导外包服务（</w:t>
            </w:r>
            <w:r>
              <w:rPr>
                <w:sz w:val="21"/>
              </w:rPr>
              <w:t>202</w:t>
            </w:r>
            <w:r>
              <w:rPr>
                <w:sz w:val="21"/>
              </w:rPr>
              <w:t>3</w:t>
            </w:r>
            <w:r>
              <w:rPr>
                <w:sz w:val="21"/>
              </w:rPr>
              <w:t>年）采购项目</w:t>
            </w:r>
          </w:p>
          <w:p>
            <w:pPr>
              <w:jc w:val="center"/>
            </w:pPr>
            <w:r>
              <w:rPr>
                <w:sz w:val="21"/>
              </w:rPr>
              <w:t>路面考评月评分表</w:t>
            </w:r>
          </w:p>
        </w:tc>
      </w:tr>
      <w:tr>
        <w:tc>
          <w:tcPr>
            <w:tcW w:type="dxa" w:w="674"/>
            <w:tcBorders>
              <w:top w:val="none" w:color="000000" w:sz="4"/>
              <w:left w:val="single" w:color="000000" w:sz="4"/>
              <w:bottom w:val="single" w:color="000000" w:sz="4"/>
              <w:right w:val="single" w:color="000000" w:sz="4"/>
            </w:tcBorders>
            <w:vAlign w:val="top"/>
          </w:tcPr>
          <w:p>
            <w:pPr>
              <w:jc w:val="center"/>
            </w:pPr>
            <w:r>
              <w:rPr>
                <w:color w:val="000000"/>
                <w:sz w:val="21"/>
              </w:rPr>
              <w:t>服务单位</w:t>
            </w:r>
          </w:p>
        </w:tc>
        <w:tc>
          <w:tcPr>
            <w:tcW w:type="dxa" w:w="3910"/>
            <w:tcBorders>
              <w:top w:val="single" w:color="000000" w:sz="4"/>
              <w:left w:val="single" w:color="000000" w:sz="4"/>
              <w:bottom w:val="single" w:color="000000" w:sz="4"/>
              <w:right w:val="single" w:color="000000" w:sz="4"/>
            </w:tcBorders>
            <w:vAlign w:val="top"/>
          </w:tcPr>
          <w:p>
            <w:pPr>
              <w:jc w:val="center"/>
            </w:pPr>
          </w:p>
        </w:tc>
        <w:tc>
          <w:tcPr>
            <w:tcW w:type="dxa" w:w="3722"/>
            <w:gridSpan w:val="3"/>
            <w:tcBorders>
              <w:top w:val="single" w:color="000000" w:sz="4"/>
              <w:left w:val="single" w:color="000000" w:sz="4"/>
              <w:bottom w:val="single" w:color="000000" w:sz="4"/>
              <w:right w:val="single" w:color="000000" w:sz="4"/>
            </w:tcBorders>
            <w:vAlign w:val="top"/>
          </w:tcPr>
          <w:p>
            <w:pPr>
              <w:jc w:val="center"/>
            </w:pPr>
            <w:r>
              <w:rPr>
                <w:color w:val="000000"/>
                <w:sz w:val="21"/>
              </w:rPr>
              <w:t>20    年    月</w:t>
            </w:r>
          </w:p>
        </w:tc>
      </w:tr>
      <w:tr>
        <w:tc>
          <w:tcPr>
            <w:tcW w:type="dxa" w:w="674"/>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3910"/>
            <w:tcBorders>
              <w:top w:val="none" w:color="000000" w:sz="4"/>
              <w:left w:val="single" w:color="000000" w:sz="4"/>
              <w:bottom w:val="single" w:color="000000" w:sz="4"/>
              <w:right w:val="single" w:color="000000" w:sz="4"/>
            </w:tcBorders>
            <w:vAlign w:val="top"/>
          </w:tcPr>
          <w:p>
            <w:pPr>
              <w:jc w:val="center"/>
            </w:pPr>
            <w:r>
              <w:rPr>
                <w:color w:val="000000"/>
                <w:sz w:val="21"/>
              </w:rPr>
              <w:t>检查内容</w:t>
            </w:r>
          </w:p>
        </w:tc>
        <w:tc>
          <w:tcPr>
            <w:tcW w:type="dxa" w:w="1942"/>
            <w:tcBorders>
              <w:top w:val="none" w:color="000000" w:sz="4"/>
              <w:left w:val="single" w:color="000000" w:sz="4"/>
              <w:bottom w:val="single" w:color="000000" w:sz="4"/>
              <w:right w:val="single" w:color="000000" w:sz="4"/>
            </w:tcBorders>
            <w:vAlign w:val="top"/>
          </w:tcPr>
          <w:p>
            <w:pPr>
              <w:jc w:val="center"/>
            </w:pPr>
            <w:r>
              <w:rPr>
                <w:color w:val="000000"/>
                <w:sz w:val="21"/>
              </w:rPr>
              <w:t>评分标准</w:t>
            </w:r>
          </w:p>
        </w:tc>
        <w:tc>
          <w:tcPr>
            <w:tcW w:type="dxa" w:w="944"/>
            <w:tcBorders>
              <w:top w:val="single" w:color="000000" w:sz="4"/>
              <w:left w:val="single" w:color="000000" w:sz="4"/>
              <w:bottom w:val="single" w:color="000000" w:sz="4"/>
              <w:right w:val="single" w:color="000000" w:sz="4"/>
            </w:tcBorders>
            <w:vAlign w:val="top"/>
          </w:tcPr>
          <w:p>
            <w:pPr>
              <w:jc w:val="center"/>
            </w:pPr>
            <w:r>
              <w:rPr>
                <w:color w:val="000000"/>
                <w:sz w:val="21"/>
              </w:rPr>
              <w:t>问题次数</w:t>
            </w:r>
          </w:p>
        </w:tc>
        <w:tc>
          <w:tcPr>
            <w:tcW w:type="dxa" w:w="836"/>
            <w:tcBorders>
              <w:top w:val="single" w:color="000000" w:sz="4"/>
              <w:left w:val="single" w:color="000000" w:sz="4"/>
              <w:bottom w:val="single" w:color="000000" w:sz="4"/>
              <w:right w:val="single" w:color="000000" w:sz="4"/>
            </w:tcBorders>
            <w:vAlign w:val="top"/>
          </w:tcPr>
          <w:p>
            <w:pPr>
              <w:jc w:val="center"/>
            </w:pPr>
            <w:r>
              <w:rPr>
                <w:color w:val="000000"/>
                <w:sz w:val="21"/>
              </w:rPr>
              <w:t>得分</w:t>
            </w:r>
          </w:p>
        </w:tc>
      </w:tr>
      <w:tr>
        <w:tc>
          <w:tcPr>
            <w:tcW w:type="dxa" w:w="674"/>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3910"/>
            <w:tcBorders>
              <w:top w:val="none" w:color="000000" w:sz="4"/>
              <w:left w:val="single" w:color="000000" w:sz="4"/>
              <w:bottom w:val="single" w:color="000000" w:sz="4"/>
              <w:right w:val="single" w:color="000000" w:sz="4"/>
            </w:tcBorders>
            <w:vAlign w:val="top"/>
          </w:tcPr>
          <w:p>
            <w:r>
              <w:rPr>
                <w:sz w:val="21"/>
              </w:rPr>
              <w:t>发现负责辖区内人行道以上共享自行车、共享电动自行车停放不规范。对共享自行车、共享电动自行车使用人在现场的，没有及时劝阻使用人按规定有序停放；对共享自行车、共享电动自行车使用人不在现场的，没有主动将车辆按规定摆放整齐。发现负责辖区内人行道上停放各类机动车，对机动车驾驶人在现场的，没有及时劝导其立即驶离，对机动车驾驶人不在现场的，没有及时与交警中队衔接，由交警按程序进行处理。</w:t>
            </w:r>
          </w:p>
        </w:tc>
        <w:tc>
          <w:tcPr>
            <w:tcW w:type="dxa" w:w="1942"/>
            <w:tcBorders>
              <w:top w:val="none" w:color="000000" w:sz="4"/>
              <w:left w:val="single" w:color="000000" w:sz="4"/>
              <w:bottom w:val="single" w:color="000000" w:sz="4"/>
              <w:right w:val="single" w:color="000000" w:sz="4"/>
            </w:tcBorders>
            <w:vAlign w:val="top"/>
          </w:tcPr>
          <w:p>
            <w:pPr>
              <w:jc w:val="center"/>
            </w:pPr>
            <w:r>
              <w:rPr>
                <w:color w:val="000000"/>
                <w:sz w:val="21"/>
              </w:rPr>
              <w:t>每发现一次扣</w:t>
            </w:r>
            <w:r>
              <w:rPr>
                <w:color w:val="000000"/>
                <w:sz w:val="21"/>
              </w:rPr>
              <w:t>0.5 分</w:t>
            </w:r>
          </w:p>
        </w:tc>
        <w:tc>
          <w:tcPr>
            <w:tcW w:type="dxa" w:w="944"/>
            <w:tcBorders>
              <w:top w:val="none" w:color="000000" w:sz="4"/>
              <w:left w:val="single" w:color="000000" w:sz="4"/>
              <w:bottom w:val="single" w:color="000000" w:sz="4"/>
              <w:right w:val="single" w:color="000000" w:sz="4"/>
            </w:tcBorders>
            <w:vAlign w:val="top"/>
          </w:tcPr>
          <w:p>
            <w:pPr>
              <w:jc w:val="center"/>
            </w:pPr>
          </w:p>
        </w:tc>
        <w:tc>
          <w:tcPr>
            <w:tcW w:type="dxa" w:w="836"/>
            <w:tcBorders>
              <w:top w:val="none" w:color="000000" w:sz="4"/>
              <w:left w:val="single" w:color="000000" w:sz="4"/>
              <w:bottom w:val="single" w:color="000000" w:sz="4"/>
              <w:right w:val="single" w:color="000000" w:sz="4"/>
            </w:tcBorders>
            <w:vAlign w:val="top"/>
          </w:tcPr>
          <w:p>
            <w:pPr>
              <w:jc w:val="center"/>
            </w:pPr>
          </w:p>
        </w:tc>
      </w:tr>
      <w:tr>
        <w:tc>
          <w:tcPr>
            <w:tcW w:type="dxa" w:w="674"/>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3910"/>
            <w:tcBorders>
              <w:top w:val="none" w:color="000000" w:sz="4"/>
              <w:left w:val="single" w:color="000000" w:sz="4"/>
              <w:bottom w:val="single" w:color="000000" w:sz="4"/>
              <w:right w:val="single" w:color="000000" w:sz="4"/>
            </w:tcBorders>
            <w:vAlign w:val="top"/>
          </w:tcPr>
          <w:p>
            <w:r>
              <w:rPr>
                <w:sz w:val="21"/>
              </w:rPr>
              <w:t>发现负责辖区内沿街门店有室外经营、占路堆放沙土建筑材料、杂物和摆放灯箱、广告牌匾以及流动摊贩（摊点）占路经营等行为时，没有及时进行劝阻和制止，并做好教育与宣传工作。对拒不服从管理的，没有及时通知执法人员跟进。</w:t>
            </w:r>
          </w:p>
        </w:tc>
        <w:tc>
          <w:tcPr>
            <w:tcW w:type="dxa" w:w="1942"/>
            <w:tcBorders>
              <w:top w:val="none" w:color="000000" w:sz="4"/>
              <w:left w:val="single" w:color="000000" w:sz="4"/>
              <w:bottom w:val="single" w:color="000000" w:sz="4"/>
              <w:right w:val="single" w:color="000000" w:sz="4"/>
            </w:tcBorders>
            <w:vAlign w:val="top"/>
          </w:tcPr>
          <w:p>
            <w:pPr>
              <w:jc w:val="center"/>
            </w:pPr>
            <w:r>
              <w:rPr>
                <w:color w:val="000000"/>
                <w:sz w:val="21"/>
              </w:rPr>
              <w:t>每发现一次扣</w:t>
            </w:r>
            <w:r>
              <w:rPr>
                <w:color w:val="000000"/>
                <w:sz w:val="21"/>
              </w:rPr>
              <w:t>0.5 分</w:t>
            </w:r>
          </w:p>
        </w:tc>
        <w:tc>
          <w:tcPr>
            <w:tcW w:type="dxa" w:w="944"/>
            <w:tcBorders>
              <w:top w:val="none" w:color="000000" w:sz="4"/>
              <w:left w:val="single" w:color="000000" w:sz="4"/>
              <w:bottom w:val="single" w:color="000000" w:sz="4"/>
              <w:right w:val="single" w:color="000000" w:sz="4"/>
            </w:tcBorders>
            <w:vAlign w:val="top"/>
          </w:tcPr>
          <w:p>
            <w:pPr>
              <w:jc w:val="center"/>
            </w:pPr>
          </w:p>
        </w:tc>
        <w:tc>
          <w:tcPr>
            <w:tcW w:type="dxa" w:w="836"/>
            <w:tcBorders>
              <w:top w:val="none" w:color="000000" w:sz="4"/>
              <w:left w:val="single" w:color="000000" w:sz="4"/>
              <w:bottom w:val="single" w:color="000000" w:sz="4"/>
              <w:right w:val="single" w:color="000000" w:sz="4"/>
            </w:tcBorders>
            <w:vAlign w:val="top"/>
          </w:tcPr>
          <w:p>
            <w:pPr>
              <w:jc w:val="center"/>
            </w:pPr>
          </w:p>
        </w:tc>
      </w:tr>
      <w:tr>
        <w:tc>
          <w:tcPr>
            <w:tcW w:type="dxa" w:w="674"/>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3910"/>
            <w:tcBorders>
              <w:top w:val="none" w:color="000000" w:sz="4"/>
              <w:left w:val="single" w:color="000000" w:sz="4"/>
              <w:bottom w:val="single" w:color="000000" w:sz="4"/>
              <w:right w:val="single" w:color="000000" w:sz="4"/>
            </w:tcBorders>
            <w:vAlign w:val="top"/>
          </w:tcPr>
          <w:p>
            <w:r>
              <w:rPr>
                <w:sz w:val="21"/>
              </w:rPr>
              <w:t>发现负责辖区有在沿街建筑物、线杆以及树木上乱贴乱画的行为时，没有及时予以制止，并要求违法行为人自行清理干净。发现有乱贴乱画现象，便于清除的，没有及时自行清理。</w:t>
            </w:r>
          </w:p>
        </w:tc>
        <w:tc>
          <w:tcPr>
            <w:tcW w:type="dxa" w:w="1942"/>
            <w:tcBorders>
              <w:top w:val="none" w:color="000000" w:sz="4"/>
              <w:left w:val="single" w:color="000000" w:sz="4"/>
              <w:bottom w:val="single" w:color="000000" w:sz="4"/>
              <w:right w:val="single" w:color="000000" w:sz="4"/>
            </w:tcBorders>
            <w:vAlign w:val="top"/>
          </w:tcPr>
          <w:p>
            <w:pPr>
              <w:jc w:val="center"/>
            </w:pPr>
            <w:r>
              <w:rPr>
                <w:color w:val="000000"/>
                <w:sz w:val="21"/>
              </w:rPr>
              <w:t>每发现一次扣</w:t>
            </w:r>
            <w:r>
              <w:rPr>
                <w:color w:val="000000"/>
                <w:sz w:val="21"/>
              </w:rPr>
              <w:t>0.5 分</w:t>
            </w:r>
          </w:p>
        </w:tc>
        <w:tc>
          <w:tcPr>
            <w:tcW w:type="dxa" w:w="944"/>
            <w:tcBorders>
              <w:top w:val="none" w:color="000000" w:sz="4"/>
              <w:left w:val="single" w:color="000000" w:sz="4"/>
              <w:bottom w:val="single" w:color="000000" w:sz="4"/>
              <w:right w:val="single" w:color="000000" w:sz="4"/>
            </w:tcBorders>
            <w:vAlign w:val="top"/>
          </w:tcPr>
          <w:p>
            <w:pPr>
              <w:jc w:val="center"/>
            </w:pPr>
          </w:p>
        </w:tc>
        <w:tc>
          <w:tcPr>
            <w:tcW w:type="dxa" w:w="836"/>
            <w:tcBorders>
              <w:top w:val="none" w:color="000000" w:sz="4"/>
              <w:left w:val="single" w:color="000000" w:sz="4"/>
              <w:bottom w:val="single" w:color="000000" w:sz="4"/>
              <w:right w:val="single" w:color="000000" w:sz="4"/>
            </w:tcBorders>
            <w:vAlign w:val="top"/>
          </w:tcPr>
          <w:p>
            <w:pPr>
              <w:jc w:val="center"/>
            </w:pPr>
          </w:p>
        </w:tc>
      </w:tr>
      <w:tr>
        <w:tc>
          <w:tcPr>
            <w:tcW w:type="dxa" w:w="674"/>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3910"/>
            <w:tcBorders>
              <w:top w:val="none" w:color="000000" w:sz="4"/>
              <w:left w:val="single" w:color="000000" w:sz="4"/>
              <w:bottom w:val="single" w:color="000000" w:sz="4"/>
              <w:right w:val="single" w:color="000000" w:sz="4"/>
            </w:tcBorders>
            <w:vAlign w:val="top"/>
          </w:tcPr>
          <w:p>
            <w:r>
              <w:rPr>
                <w:sz w:val="21"/>
              </w:rPr>
              <w:t>发现负责辖区内沿街有乱挂条幅、乱晒衣服、毛巾、被褥、清洁用品等物品时没有及时进行劝阻，要求其立即将物品清理的或对拒不服从管理的，没有及时通知执法人员跟进的。</w:t>
            </w:r>
          </w:p>
        </w:tc>
        <w:tc>
          <w:tcPr>
            <w:tcW w:type="dxa" w:w="1942"/>
            <w:tcBorders>
              <w:top w:val="none" w:color="000000" w:sz="4"/>
              <w:left w:val="single" w:color="000000" w:sz="4"/>
              <w:bottom w:val="single" w:color="000000" w:sz="4"/>
              <w:right w:val="single" w:color="000000" w:sz="4"/>
            </w:tcBorders>
            <w:vAlign w:val="top"/>
          </w:tcPr>
          <w:p>
            <w:pPr>
              <w:jc w:val="center"/>
            </w:pPr>
            <w:r>
              <w:rPr>
                <w:color w:val="000000"/>
                <w:sz w:val="21"/>
              </w:rPr>
              <w:t>每发现一次扣</w:t>
            </w:r>
            <w:r>
              <w:rPr>
                <w:color w:val="000000"/>
                <w:sz w:val="21"/>
              </w:rPr>
              <w:t>0.5 分</w:t>
            </w:r>
          </w:p>
        </w:tc>
        <w:tc>
          <w:tcPr>
            <w:tcW w:type="dxa" w:w="944"/>
            <w:tcBorders>
              <w:top w:val="none" w:color="000000" w:sz="4"/>
              <w:left w:val="single" w:color="000000" w:sz="4"/>
              <w:bottom w:val="single" w:color="000000" w:sz="4"/>
              <w:right w:val="single" w:color="000000" w:sz="4"/>
            </w:tcBorders>
            <w:vAlign w:val="top"/>
          </w:tcPr>
          <w:p>
            <w:pPr>
              <w:jc w:val="center"/>
            </w:pPr>
          </w:p>
        </w:tc>
        <w:tc>
          <w:tcPr>
            <w:tcW w:type="dxa" w:w="836"/>
            <w:tcBorders>
              <w:top w:val="none" w:color="000000" w:sz="4"/>
              <w:left w:val="single" w:color="000000" w:sz="4"/>
              <w:bottom w:val="single" w:color="000000" w:sz="4"/>
              <w:right w:val="single" w:color="000000" w:sz="4"/>
            </w:tcBorders>
            <w:vAlign w:val="top"/>
          </w:tcPr>
          <w:p>
            <w:pPr>
              <w:jc w:val="center"/>
            </w:pPr>
          </w:p>
        </w:tc>
      </w:tr>
      <w:tr>
        <w:tc>
          <w:tcPr>
            <w:tcW w:type="dxa" w:w="674"/>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3910"/>
            <w:tcBorders>
              <w:top w:val="none" w:color="000000" w:sz="4"/>
              <w:left w:val="single" w:color="000000" w:sz="4"/>
              <w:bottom w:val="single" w:color="000000" w:sz="4"/>
              <w:right w:val="single" w:color="000000" w:sz="4"/>
            </w:tcBorders>
            <w:vAlign w:val="top"/>
          </w:tcPr>
          <w:p>
            <w:r>
              <w:rPr>
                <w:sz w:val="21"/>
              </w:rPr>
              <w:t>发现负责辖区内因修、洗车、各类维修和加工喷漆等行为造成路面污染，以及私自挖掘城市道路、在城市道路、人行道、绿化带等区域私拉管线造成表面损坏的行为时，没有及时进行劝导并进行制止。对拒不服从管理的，没有及时通知执法人员跟进</w:t>
            </w:r>
            <w:r>
              <w:rPr>
                <w:sz w:val="21"/>
              </w:rPr>
              <w:t>。</w:t>
            </w:r>
          </w:p>
        </w:tc>
        <w:tc>
          <w:tcPr>
            <w:tcW w:type="dxa" w:w="1942"/>
            <w:tcBorders>
              <w:top w:val="none" w:color="000000" w:sz="4"/>
              <w:left w:val="single" w:color="000000" w:sz="4"/>
              <w:bottom w:val="single" w:color="000000" w:sz="4"/>
              <w:right w:val="single" w:color="000000" w:sz="4"/>
            </w:tcBorders>
            <w:vAlign w:val="top"/>
          </w:tcPr>
          <w:p>
            <w:pPr>
              <w:jc w:val="center"/>
            </w:pPr>
            <w:r>
              <w:rPr>
                <w:color w:val="000000"/>
                <w:sz w:val="21"/>
              </w:rPr>
              <w:t>每发现一次扣</w:t>
            </w:r>
            <w:r>
              <w:rPr>
                <w:color w:val="000000"/>
                <w:sz w:val="21"/>
              </w:rPr>
              <w:t>0.5 分</w:t>
            </w:r>
          </w:p>
        </w:tc>
        <w:tc>
          <w:tcPr>
            <w:tcW w:type="dxa" w:w="944"/>
            <w:tcBorders>
              <w:top w:val="none" w:color="000000" w:sz="4"/>
              <w:left w:val="single" w:color="000000" w:sz="4"/>
              <w:bottom w:val="single" w:color="000000" w:sz="4"/>
              <w:right w:val="single" w:color="000000" w:sz="4"/>
            </w:tcBorders>
            <w:vAlign w:val="top"/>
          </w:tcPr>
          <w:p>
            <w:pPr>
              <w:jc w:val="center"/>
            </w:pPr>
          </w:p>
        </w:tc>
        <w:tc>
          <w:tcPr>
            <w:tcW w:type="dxa" w:w="836"/>
            <w:tcBorders>
              <w:top w:val="none" w:color="000000" w:sz="4"/>
              <w:left w:val="single" w:color="000000" w:sz="4"/>
              <w:bottom w:val="single" w:color="000000" w:sz="4"/>
              <w:right w:val="single" w:color="000000" w:sz="4"/>
            </w:tcBorders>
            <w:vAlign w:val="top"/>
          </w:tcPr>
          <w:p>
            <w:pPr>
              <w:jc w:val="center"/>
            </w:pPr>
          </w:p>
        </w:tc>
      </w:tr>
      <w:tr>
        <w:tc>
          <w:tcPr>
            <w:tcW w:type="dxa" w:w="674"/>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3910"/>
            <w:tcBorders>
              <w:top w:val="none" w:color="000000" w:sz="4"/>
              <w:left w:val="single" w:color="000000" w:sz="4"/>
              <w:bottom w:val="single" w:color="000000" w:sz="4"/>
              <w:right w:val="single" w:color="000000" w:sz="4"/>
            </w:tcBorders>
            <w:vAlign w:val="top"/>
          </w:tcPr>
          <w:p>
            <w:r>
              <w:rPr>
                <w:sz w:val="21"/>
              </w:rPr>
              <w:t>发现负责辖区内有不按规定时间、地点倾倒垃圾、污物的行为时，没有及时进行劝阻和制止。对于正在乱倒的要及时制止，没有及时要求违法行为人立即清除，已经乱倒而违法行为人又不在现场的，没有及时通知相关单位及时清理。</w:t>
            </w:r>
          </w:p>
        </w:tc>
        <w:tc>
          <w:tcPr>
            <w:tcW w:type="dxa" w:w="1942"/>
            <w:tcBorders>
              <w:top w:val="none" w:color="000000" w:sz="4"/>
              <w:left w:val="single" w:color="000000" w:sz="4"/>
              <w:bottom w:val="single" w:color="000000" w:sz="4"/>
              <w:right w:val="single" w:color="000000" w:sz="4"/>
            </w:tcBorders>
            <w:vAlign w:val="top"/>
          </w:tcPr>
          <w:p>
            <w:pPr>
              <w:jc w:val="center"/>
            </w:pPr>
            <w:r>
              <w:rPr>
                <w:color w:val="000000"/>
                <w:sz w:val="21"/>
              </w:rPr>
              <w:t>每发现一次扣</w:t>
            </w:r>
            <w:r>
              <w:rPr>
                <w:color w:val="000000"/>
                <w:sz w:val="21"/>
              </w:rPr>
              <w:t>0.5 分</w:t>
            </w:r>
          </w:p>
        </w:tc>
        <w:tc>
          <w:tcPr>
            <w:tcW w:type="dxa" w:w="944"/>
            <w:tcBorders>
              <w:top w:val="none" w:color="000000" w:sz="4"/>
              <w:left w:val="single" w:color="000000" w:sz="4"/>
              <w:bottom w:val="single" w:color="000000" w:sz="4"/>
              <w:right w:val="single" w:color="000000" w:sz="4"/>
            </w:tcBorders>
            <w:vAlign w:val="top"/>
          </w:tcPr>
          <w:p>
            <w:pPr>
              <w:jc w:val="center"/>
            </w:pPr>
          </w:p>
        </w:tc>
        <w:tc>
          <w:tcPr>
            <w:tcW w:type="dxa" w:w="836"/>
            <w:tcBorders>
              <w:top w:val="none" w:color="000000" w:sz="4"/>
              <w:left w:val="single" w:color="000000" w:sz="4"/>
              <w:bottom w:val="single" w:color="000000" w:sz="4"/>
              <w:right w:val="single" w:color="000000" w:sz="4"/>
            </w:tcBorders>
            <w:vAlign w:val="top"/>
          </w:tcPr>
          <w:p>
            <w:pPr>
              <w:jc w:val="center"/>
            </w:pPr>
          </w:p>
        </w:tc>
      </w:tr>
      <w:tr>
        <w:tc>
          <w:tcPr>
            <w:tcW w:type="dxa" w:w="674"/>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3910"/>
            <w:tcBorders>
              <w:top w:val="none" w:color="000000" w:sz="4"/>
              <w:left w:val="single" w:color="000000" w:sz="4"/>
              <w:bottom w:val="single" w:color="000000" w:sz="4"/>
              <w:right w:val="single" w:color="000000" w:sz="4"/>
            </w:tcBorders>
            <w:vAlign w:val="top"/>
          </w:tcPr>
          <w:p>
            <w:r>
              <w:rPr>
                <w:sz w:val="21"/>
              </w:rPr>
              <w:t>发现负责辖区内有破坏绿地、损毁树木的行为时，没有及时劝阻和制止。力所能及的，没有及时自行修复。</w:t>
            </w:r>
          </w:p>
        </w:tc>
        <w:tc>
          <w:tcPr>
            <w:tcW w:type="dxa" w:w="1942"/>
            <w:tcBorders>
              <w:top w:val="none" w:color="000000" w:sz="4"/>
              <w:left w:val="single" w:color="000000" w:sz="4"/>
              <w:bottom w:val="single" w:color="000000" w:sz="4"/>
              <w:right w:val="single" w:color="000000" w:sz="4"/>
            </w:tcBorders>
            <w:vAlign w:val="top"/>
          </w:tcPr>
          <w:p>
            <w:pPr>
              <w:jc w:val="center"/>
            </w:pPr>
            <w:r>
              <w:rPr>
                <w:color w:val="000000"/>
                <w:sz w:val="21"/>
              </w:rPr>
              <w:t>每发现一次扣</w:t>
            </w:r>
            <w:r>
              <w:rPr>
                <w:color w:val="000000"/>
                <w:sz w:val="21"/>
              </w:rPr>
              <w:t>0.5 分</w:t>
            </w:r>
          </w:p>
        </w:tc>
        <w:tc>
          <w:tcPr>
            <w:tcW w:type="dxa" w:w="944"/>
            <w:tcBorders>
              <w:top w:val="none" w:color="000000" w:sz="4"/>
              <w:left w:val="single" w:color="000000" w:sz="4"/>
              <w:bottom w:val="single" w:color="000000" w:sz="4"/>
              <w:right w:val="single" w:color="000000" w:sz="4"/>
            </w:tcBorders>
            <w:vAlign w:val="top"/>
          </w:tcPr>
          <w:p>
            <w:pPr>
              <w:jc w:val="center"/>
            </w:pPr>
          </w:p>
        </w:tc>
        <w:tc>
          <w:tcPr>
            <w:tcW w:type="dxa" w:w="836"/>
            <w:tcBorders>
              <w:top w:val="none" w:color="000000" w:sz="4"/>
              <w:left w:val="single" w:color="000000" w:sz="4"/>
              <w:bottom w:val="single" w:color="000000" w:sz="4"/>
              <w:right w:val="single" w:color="000000" w:sz="4"/>
            </w:tcBorders>
            <w:vAlign w:val="top"/>
          </w:tcPr>
          <w:p>
            <w:pPr>
              <w:jc w:val="center"/>
            </w:pPr>
          </w:p>
        </w:tc>
      </w:tr>
      <w:tr>
        <w:tc>
          <w:tcPr>
            <w:tcW w:type="dxa" w:w="674"/>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3910"/>
            <w:tcBorders>
              <w:top w:val="none" w:color="000000" w:sz="4"/>
              <w:left w:val="single" w:color="000000" w:sz="4"/>
              <w:bottom w:val="single" w:color="000000" w:sz="4"/>
              <w:right w:val="single" w:color="000000" w:sz="4"/>
            </w:tcBorders>
            <w:vAlign w:val="top"/>
          </w:tcPr>
          <w:p>
            <w:r>
              <w:rPr>
                <w:sz w:val="21"/>
              </w:rPr>
              <w:t>发现没有及时完成涉及市容环境管理文明劝导的其他工作。包含但不限于路面市容数据采集等</w:t>
            </w:r>
          </w:p>
        </w:tc>
        <w:tc>
          <w:tcPr>
            <w:tcW w:type="dxa" w:w="1942"/>
            <w:tcBorders>
              <w:top w:val="none" w:color="000000" w:sz="4"/>
              <w:left w:val="single" w:color="000000" w:sz="4"/>
              <w:bottom w:val="single" w:color="000000" w:sz="4"/>
              <w:right w:val="single" w:color="000000" w:sz="4"/>
            </w:tcBorders>
            <w:vAlign w:val="top"/>
          </w:tcPr>
          <w:p>
            <w:pPr>
              <w:jc w:val="center"/>
            </w:pPr>
            <w:r>
              <w:rPr>
                <w:color w:val="000000"/>
                <w:sz w:val="21"/>
              </w:rPr>
              <w:t>每发现一次扣</w:t>
            </w:r>
            <w:r>
              <w:rPr>
                <w:color w:val="000000"/>
                <w:sz w:val="21"/>
              </w:rPr>
              <w:t>1分</w:t>
            </w:r>
          </w:p>
        </w:tc>
        <w:tc>
          <w:tcPr>
            <w:tcW w:type="dxa" w:w="944"/>
            <w:tcBorders>
              <w:top w:val="none" w:color="000000" w:sz="4"/>
              <w:left w:val="single" w:color="000000" w:sz="4"/>
              <w:bottom w:val="single" w:color="000000" w:sz="4"/>
              <w:right w:val="single" w:color="000000" w:sz="4"/>
            </w:tcBorders>
            <w:vAlign w:val="top"/>
          </w:tcPr>
          <w:p>
            <w:pPr>
              <w:jc w:val="center"/>
            </w:pPr>
          </w:p>
        </w:tc>
        <w:tc>
          <w:tcPr>
            <w:tcW w:type="dxa" w:w="836"/>
            <w:tcBorders>
              <w:top w:val="none" w:color="000000" w:sz="4"/>
              <w:left w:val="single" w:color="000000" w:sz="4"/>
              <w:bottom w:val="single" w:color="000000" w:sz="4"/>
              <w:right w:val="single" w:color="000000" w:sz="4"/>
            </w:tcBorders>
            <w:vAlign w:val="top"/>
          </w:tcPr>
          <w:p>
            <w:pPr>
              <w:jc w:val="center"/>
            </w:pPr>
          </w:p>
        </w:tc>
      </w:tr>
      <w:tr>
        <w:tc>
          <w:tcPr>
            <w:tcW w:type="dxa" w:w="674"/>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3910"/>
            <w:tcBorders>
              <w:top w:val="none" w:color="000000" w:sz="4"/>
              <w:left w:val="single" w:color="000000" w:sz="4"/>
              <w:bottom w:val="single" w:color="000000" w:sz="4"/>
              <w:right w:val="single" w:color="000000" w:sz="4"/>
            </w:tcBorders>
            <w:vAlign w:val="top"/>
          </w:tcPr>
          <w:p>
            <w:r>
              <w:rPr>
                <w:sz w:val="21"/>
              </w:rPr>
              <w:t>对于城市管理黑点、难点区域，没有及时安排专人进行劝导的</w:t>
            </w:r>
          </w:p>
        </w:tc>
        <w:tc>
          <w:tcPr>
            <w:tcW w:type="dxa" w:w="1942"/>
            <w:tcBorders>
              <w:top w:val="none" w:color="000000" w:sz="4"/>
              <w:left w:val="single" w:color="000000" w:sz="4"/>
              <w:bottom w:val="single" w:color="000000" w:sz="4"/>
              <w:right w:val="single" w:color="000000" w:sz="4"/>
            </w:tcBorders>
            <w:vAlign w:val="top"/>
          </w:tcPr>
          <w:p>
            <w:pPr>
              <w:jc w:val="center"/>
            </w:pPr>
            <w:r>
              <w:rPr>
                <w:color w:val="000000"/>
                <w:sz w:val="21"/>
              </w:rPr>
              <w:t>每发现一次扣</w:t>
            </w:r>
            <w:r>
              <w:rPr>
                <w:color w:val="000000"/>
                <w:sz w:val="21"/>
              </w:rPr>
              <w:t>1 分</w:t>
            </w:r>
          </w:p>
        </w:tc>
        <w:tc>
          <w:tcPr>
            <w:tcW w:type="dxa" w:w="944"/>
            <w:tcBorders>
              <w:top w:val="none" w:color="000000" w:sz="4"/>
              <w:left w:val="single" w:color="000000" w:sz="4"/>
              <w:bottom w:val="single" w:color="000000" w:sz="4"/>
              <w:right w:val="single" w:color="000000" w:sz="4"/>
            </w:tcBorders>
            <w:vAlign w:val="top"/>
          </w:tcPr>
          <w:p>
            <w:pPr>
              <w:jc w:val="center"/>
            </w:pPr>
          </w:p>
        </w:tc>
        <w:tc>
          <w:tcPr>
            <w:tcW w:type="dxa" w:w="836"/>
            <w:tcBorders>
              <w:top w:val="none" w:color="000000" w:sz="4"/>
              <w:left w:val="single" w:color="000000" w:sz="4"/>
              <w:bottom w:val="single" w:color="000000" w:sz="4"/>
              <w:right w:val="single" w:color="000000" w:sz="4"/>
            </w:tcBorders>
            <w:vAlign w:val="top"/>
          </w:tcPr>
          <w:p>
            <w:pPr>
              <w:jc w:val="center"/>
            </w:pPr>
          </w:p>
        </w:tc>
      </w:tr>
      <w:tr>
        <w:tc>
          <w:tcPr>
            <w:tcW w:type="dxa" w:w="674"/>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3910"/>
            <w:tcBorders>
              <w:top w:val="none" w:color="000000" w:sz="4"/>
              <w:left w:val="single" w:color="000000" w:sz="4"/>
              <w:bottom w:val="single" w:color="000000" w:sz="4"/>
              <w:right w:val="single" w:color="000000" w:sz="4"/>
            </w:tcBorders>
            <w:vAlign w:val="top"/>
          </w:tcPr>
          <w:p>
            <w:r>
              <w:rPr>
                <w:sz w:val="21"/>
              </w:rPr>
              <w:t>成交供应商提供针对群众投诉热点、难点问题采取有效措施、解决一批市容黑点等问题的</w:t>
            </w:r>
          </w:p>
        </w:tc>
        <w:tc>
          <w:tcPr>
            <w:tcW w:type="dxa" w:w="1942"/>
            <w:tcBorders>
              <w:top w:val="none" w:color="000000" w:sz="4"/>
              <w:left w:val="single" w:color="000000" w:sz="4"/>
              <w:bottom w:val="single" w:color="000000" w:sz="4"/>
              <w:right w:val="single" w:color="000000" w:sz="4"/>
            </w:tcBorders>
            <w:vAlign w:val="top"/>
          </w:tcPr>
          <w:p>
            <w:pPr>
              <w:jc w:val="center"/>
            </w:pPr>
            <w:r>
              <w:rPr>
                <w:sz w:val="21"/>
              </w:rPr>
              <w:t>进行加分，最高加</w:t>
            </w:r>
            <w:r>
              <w:rPr>
                <w:sz w:val="21"/>
              </w:rPr>
              <w:t>10分，具体加分值由采购人商议确定</w:t>
            </w:r>
          </w:p>
        </w:tc>
        <w:tc>
          <w:tcPr>
            <w:tcW w:type="dxa" w:w="944"/>
            <w:tcBorders>
              <w:top w:val="none" w:color="000000" w:sz="4"/>
              <w:left w:val="single" w:color="000000" w:sz="4"/>
              <w:bottom w:val="single" w:color="000000" w:sz="4"/>
              <w:right w:val="single" w:color="000000" w:sz="4"/>
            </w:tcBorders>
            <w:vAlign w:val="top"/>
          </w:tcPr>
          <w:p>
            <w:pPr>
              <w:jc w:val="center"/>
            </w:pPr>
          </w:p>
        </w:tc>
        <w:tc>
          <w:tcPr>
            <w:tcW w:type="dxa" w:w="836"/>
            <w:tcBorders>
              <w:top w:val="none" w:color="000000" w:sz="4"/>
              <w:left w:val="single" w:color="000000" w:sz="4"/>
              <w:bottom w:val="single" w:color="000000" w:sz="4"/>
              <w:right w:val="single" w:color="000000" w:sz="4"/>
            </w:tcBorders>
            <w:vAlign w:val="top"/>
          </w:tcPr>
          <w:p>
            <w:pPr>
              <w:jc w:val="center"/>
            </w:pPr>
          </w:p>
        </w:tc>
      </w:tr>
      <w:tr>
        <w:tc>
          <w:tcPr>
            <w:tcW w:type="dxa" w:w="674"/>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3910"/>
            <w:tcBorders>
              <w:top w:val="none" w:color="000000" w:sz="4"/>
              <w:left w:val="single" w:color="000000" w:sz="4"/>
              <w:bottom w:val="single" w:color="000000" w:sz="4"/>
              <w:right w:val="single" w:color="000000" w:sz="4"/>
            </w:tcBorders>
            <w:vAlign w:val="top"/>
          </w:tcPr>
          <w:p>
            <w:r>
              <w:rPr>
                <w:color w:val="000000"/>
                <w:sz w:val="21"/>
              </w:rPr>
              <w:t>违反</w:t>
            </w:r>
            <w:r>
              <w:rPr>
                <w:sz w:val="21"/>
              </w:rPr>
              <w:t>工作纪律要求中的</w:t>
            </w:r>
            <w:r>
              <w:rPr>
                <w:color w:val="000000"/>
                <w:sz w:val="21"/>
              </w:rPr>
              <w:t>10个要求的</w:t>
            </w:r>
          </w:p>
        </w:tc>
        <w:tc>
          <w:tcPr>
            <w:tcW w:type="dxa" w:w="1942"/>
            <w:tcBorders>
              <w:top w:val="none" w:color="000000" w:sz="4"/>
              <w:left w:val="single" w:color="000000" w:sz="4"/>
              <w:bottom w:val="single" w:color="000000" w:sz="4"/>
              <w:right w:val="single" w:color="000000" w:sz="4"/>
            </w:tcBorders>
            <w:vAlign w:val="top"/>
          </w:tcPr>
          <w:p>
            <w:pPr>
              <w:jc w:val="center"/>
            </w:pPr>
            <w:r>
              <w:rPr>
                <w:color w:val="000000"/>
                <w:sz w:val="21"/>
              </w:rPr>
              <w:t>第</w:t>
            </w:r>
            <w:r>
              <w:rPr>
                <w:color w:val="000000"/>
                <w:sz w:val="21"/>
              </w:rPr>
              <w:t>1项-第7项每发现一项不符合要求扣0.5分, 第8项-第10项每发现一项不符合要求扣3分</w:t>
            </w:r>
          </w:p>
        </w:tc>
        <w:tc>
          <w:tcPr>
            <w:tcW w:type="dxa" w:w="944"/>
            <w:tcBorders>
              <w:top w:val="none" w:color="000000" w:sz="4"/>
              <w:left w:val="single" w:color="000000" w:sz="4"/>
              <w:bottom w:val="single" w:color="000000" w:sz="4"/>
              <w:right w:val="single" w:color="000000" w:sz="4"/>
            </w:tcBorders>
            <w:vAlign w:val="top"/>
          </w:tcPr>
          <w:p>
            <w:pPr>
              <w:jc w:val="center"/>
            </w:pPr>
          </w:p>
        </w:tc>
        <w:tc>
          <w:tcPr>
            <w:tcW w:type="dxa" w:w="836"/>
            <w:tcBorders>
              <w:top w:val="none" w:color="000000" w:sz="4"/>
              <w:left w:val="single" w:color="000000" w:sz="4"/>
              <w:bottom w:val="single" w:color="000000" w:sz="4"/>
              <w:right w:val="single" w:color="000000" w:sz="4"/>
            </w:tcBorders>
            <w:vAlign w:val="top"/>
          </w:tcPr>
          <w:p>
            <w:pPr>
              <w:jc w:val="center"/>
            </w:pPr>
          </w:p>
        </w:tc>
      </w:tr>
      <w:tr>
        <w:tc>
          <w:tcPr>
            <w:tcW w:type="dxa" w:w="674"/>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3910"/>
            <w:tcBorders>
              <w:top w:val="none" w:color="000000" w:sz="4"/>
              <w:left w:val="single" w:color="000000" w:sz="4"/>
              <w:bottom w:val="single" w:color="000000" w:sz="4"/>
              <w:right w:val="single" w:color="000000" w:sz="4"/>
            </w:tcBorders>
            <w:vAlign w:val="top"/>
          </w:tcPr>
          <w:p>
            <w:r>
              <w:rPr>
                <w:sz w:val="21"/>
              </w:rPr>
              <w:t>出现影响社会重大事件的</w:t>
            </w:r>
          </w:p>
        </w:tc>
        <w:tc>
          <w:tcPr>
            <w:tcW w:type="dxa" w:w="1942"/>
            <w:tcBorders>
              <w:top w:val="none" w:color="000000" w:sz="4"/>
              <w:left w:val="single" w:color="000000" w:sz="4"/>
              <w:bottom w:val="single" w:color="000000" w:sz="4"/>
              <w:right w:val="single" w:color="000000" w:sz="4"/>
            </w:tcBorders>
            <w:vAlign w:val="top"/>
          </w:tcPr>
          <w:p>
            <w:pPr>
              <w:jc w:val="center"/>
            </w:pPr>
            <w:r>
              <w:rPr>
                <w:sz w:val="21"/>
              </w:rPr>
              <w:t>直接评定不及格</w:t>
            </w:r>
          </w:p>
        </w:tc>
        <w:tc>
          <w:tcPr>
            <w:tcW w:type="dxa" w:w="944"/>
            <w:tcBorders>
              <w:top w:val="none" w:color="000000" w:sz="4"/>
              <w:left w:val="single" w:color="000000" w:sz="4"/>
              <w:bottom w:val="single" w:color="000000" w:sz="4"/>
              <w:right w:val="single" w:color="000000" w:sz="4"/>
            </w:tcBorders>
            <w:vAlign w:val="top"/>
          </w:tcPr>
          <w:p>
            <w:pPr>
              <w:jc w:val="center"/>
            </w:pPr>
          </w:p>
        </w:tc>
        <w:tc>
          <w:tcPr>
            <w:tcW w:type="dxa" w:w="836"/>
            <w:tcBorders>
              <w:top w:val="none" w:color="000000" w:sz="4"/>
              <w:left w:val="single" w:color="000000" w:sz="4"/>
              <w:bottom w:val="single" w:color="000000" w:sz="4"/>
              <w:right w:val="single" w:color="000000" w:sz="4"/>
            </w:tcBorders>
            <w:vAlign w:val="top"/>
          </w:tcPr>
          <w:p>
            <w:pPr>
              <w:jc w:val="center"/>
            </w:pPr>
          </w:p>
        </w:tc>
      </w:tr>
      <w:tr>
        <w:tc>
          <w:tcPr>
            <w:tcW w:type="dxa" w:w="8306"/>
            <w:gridSpan w:val="5"/>
            <w:tcBorders>
              <w:top w:val="none" w:color="000000" w:sz="4"/>
              <w:left w:val="single" w:color="000000" w:sz="4"/>
              <w:bottom w:val="single" w:color="000000" w:sz="4"/>
              <w:right w:val="single" w:color="000000" w:sz="4"/>
            </w:tcBorders>
            <w:vAlign w:val="top"/>
          </w:tcPr>
          <w:p>
            <w:pPr>
              <w:jc w:val="left"/>
            </w:pPr>
            <w:r>
              <w:rPr>
                <w:color w:val="000000"/>
                <w:sz w:val="21"/>
              </w:rPr>
              <w:t>合计：</w:t>
            </w:r>
          </w:p>
        </w:tc>
      </w:tr>
    </w:tbl>
    <w:p>
      <w:pPr>
        <w:jc w:val="center"/>
      </w:pPr>
    </w:p>
    <w:p>
      <w:pPr>
        <w:jc w:val="center"/>
      </w:pPr>
    </w:p>
    <w:p/>
    <w:p>
      <w:pPr>
        <w:ind w:firstLine="211"/>
      </w:pPr>
      <w:r>
        <w:rPr>
          <w:b/>
          <w:sz w:val="21"/>
        </w:rPr>
        <w:t>附件二《路面效果月度考核汇总表》</w:t>
      </w:r>
    </w:p>
    <w:p/>
    <w:tbl>
      <w:tblPr>
        <w:tblW w:w="0" w:type="auto"/>
        <w:tblInd w:type="dxa" w:w="195"/>
        <w:tblBorders>
          <w:top w:val="none" w:color="000000" w:sz="4"/>
          <w:left w:val="none" w:color="000000" w:sz="4"/>
          <w:bottom w:val="none" w:color="000000" w:sz="4"/>
          <w:right w:val="none" w:color="000000" w:sz="4"/>
          <w:insideH w:val="none"/>
          <w:insideV w:val="none"/>
        </w:tblBorders>
      </w:tblPr>
      <w:tblGrid>
        <w:gridCol w:w="381"/>
        <w:gridCol w:w="1088"/>
        <w:gridCol w:w="2800"/>
        <w:gridCol w:w="1142"/>
        <w:gridCol w:w="748"/>
        <w:gridCol w:w="2148"/>
      </w:tblGrid>
      <w:tr>
        <w:tc>
          <w:tcPr>
            <w:tcW w:type="dxa" w:w="8307"/>
            <w:gridSpan w:val="6"/>
            <w:tcBorders>
              <w:top w:val="single" w:color="000000" w:sz="4"/>
              <w:left w:val="single" w:color="000000" w:sz="4"/>
              <w:bottom w:val="single" w:color="000000" w:sz="4"/>
              <w:right w:val="single" w:color="000000" w:sz="4"/>
            </w:tcBorders>
            <w:vAlign w:val="top"/>
          </w:tcPr>
          <w:p>
            <w:pPr>
              <w:jc w:val="center"/>
            </w:pPr>
            <w:r>
              <w:rPr>
                <w:sz w:val="21"/>
              </w:rPr>
              <w:t>南庄镇市容环境管理文明劝导外包服务（</w:t>
            </w:r>
            <w:r>
              <w:rPr>
                <w:sz w:val="21"/>
              </w:rPr>
              <w:t>202</w:t>
            </w:r>
            <w:r>
              <w:rPr>
                <w:sz w:val="21"/>
              </w:rPr>
              <w:t>3</w:t>
            </w:r>
            <w:r>
              <w:rPr>
                <w:sz w:val="21"/>
              </w:rPr>
              <w:t>年）采购项目</w:t>
            </w:r>
          </w:p>
          <w:p>
            <w:pPr>
              <w:jc w:val="center"/>
            </w:pPr>
            <w:r>
              <w:rPr>
                <w:sz w:val="21"/>
              </w:rPr>
              <w:t>路面效果月度考核汇总表</w:t>
            </w:r>
          </w:p>
        </w:tc>
      </w:tr>
      <w:tr>
        <w:tc>
          <w:tcPr>
            <w:tcW w:type="dxa" w:w="8307"/>
            <w:gridSpan w:val="6"/>
            <w:tcBorders>
              <w:top w:val="none" w:color="000000" w:sz="4"/>
              <w:left w:val="single" w:color="000000" w:sz="4"/>
              <w:bottom w:val="single" w:color="000000" w:sz="4"/>
              <w:right w:val="single" w:color="000000" w:sz="4"/>
            </w:tcBorders>
            <w:vAlign w:val="top"/>
          </w:tcPr>
          <w:p>
            <w:pPr>
              <w:jc w:val="right"/>
            </w:pPr>
            <w:r>
              <w:rPr>
                <w:b/>
                <w:sz w:val="21"/>
              </w:rPr>
              <w:t>20   年   月</w:t>
            </w:r>
          </w:p>
        </w:tc>
      </w:tr>
      <w:tr>
        <w:tc>
          <w:tcPr>
            <w:tcW w:type="dxa" w:w="381"/>
            <w:tcBorders>
              <w:top w:val="none" w:color="000000" w:sz="4"/>
              <w:left w:val="single" w:color="000000" w:sz="4"/>
              <w:bottom w:val="single" w:color="000000" w:sz="4"/>
              <w:right w:val="single" w:color="000000" w:sz="4"/>
            </w:tcBorders>
            <w:vAlign w:val="top"/>
          </w:tcPr>
          <w:p>
            <w:pPr>
              <w:jc w:val="center"/>
            </w:pPr>
            <w:r>
              <w:rPr>
                <w:b/>
                <w:sz w:val="21"/>
              </w:rPr>
              <w:t>序号</w:t>
            </w:r>
          </w:p>
        </w:tc>
        <w:tc>
          <w:tcPr>
            <w:tcW w:type="dxa" w:w="1088"/>
            <w:tcBorders>
              <w:top w:val="single" w:color="000000" w:sz="4"/>
              <w:left w:val="single" w:color="000000" w:sz="4"/>
              <w:bottom w:val="single" w:color="000000" w:sz="4"/>
              <w:right w:val="single" w:color="000000" w:sz="4"/>
            </w:tcBorders>
            <w:vAlign w:val="top"/>
          </w:tcPr>
          <w:p>
            <w:pPr>
              <w:jc w:val="center"/>
            </w:pPr>
            <w:r>
              <w:rPr>
                <w:b/>
                <w:sz w:val="21"/>
              </w:rPr>
              <w:t>月考评</w:t>
            </w:r>
            <w:r>
              <w:rPr>
                <w:b/>
                <w:sz w:val="21"/>
              </w:rPr>
              <w:t>(暗检)时间</w:t>
            </w:r>
          </w:p>
        </w:tc>
        <w:tc>
          <w:tcPr>
            <w:tcW w:type="dxa" w:w="2800"/>
            <w:tcBorders>
              <w:top w:val="single" w:color="000000" w:sz="4"/>
              <w:left w:val="single" w:color="000000" w:sz="4"/>
              <w:bottom w:val="single" w:color="000000" w:sz="4"/>
              <w:right w:val="single" w:color="000000" w:sz="4"/>
            </w:tcBorders>
            <w:vAlign w:val="top"/>
          </w:tcPr>
          <w:p>
            <w:pPr>
              <w:jc w:val="center"/>
            </w:pPr>
            <w:r>
              <w:rPr>
                <w:b/>
                <w:sz w:val="21"/>
              </w:rPr>
              <w:t>月考评处置单（暗检）内容</w:t>
            </w:r>
          </w:p>
        </w:tc>
        <w:tc>
          <w:tcPr>
            <w:tcW w:type="dxa" w:w="1142"/>
            <w:tcBorders>
              <w:top w:val="single" w:color="000000" w:sz="4"/>
              <w:left w:val="single" w:color="000000" w:sz="4"/>
              <w:bottom w:val="single" w:color="000000" w:sz="4"/>
              <w:right w:val="single" w:color="000000" w:sz="4"/>
            </w:tcBorders>
            <w:vAlign w:val="top"/>
          </w:tcPr>
          <w:p>
            <w:pPr>
              <w:jc w:val="center"/>
            </w:pPr>
            <w:r>
              <w:rPr>
                <w:b/>
                <w:sz w:val="21"/>
              </w:rPr>
              <w:t>扣分</w:t>
            </w:r>
          </w:p>
        </w:tc>
        <w:tc>
          <w:tcPr>
            <w:tcW w:type="dxa" w:w="748"/>
            <w:tcBorders>
              <w:top w:val="single" w:color="000000" w:sz="4"/>
              <w:left w:val="single" w:color="000000" w:sz="4"/>
              <w:bottom w:val="single" w:color="000000" w:sz="4"/>
              <w:right w:val="single" w:color="000000" w:sz="4"/>
            </w:tcBorders>
            <w:vAlign w:val="top"/>
          </w:tcPr>
          <w:p>
            <w:pPr>
              <w:jc w:val="center"/>
            </w:pPr>
            <w:r>
              <w:rPr>
                <w:b/>
                <w:sz w:val="21"/>
              </w:rPr>
              <w:t>扣减金额</w:t>
            </w:r>
          </w:p>
        </w:tc>
        <w:tc>
          <w:tcPr>
            <w:tcW w:type="dxa" w:w="2148"/>
            <w:tcBorders>
              <w:top w:val="single" w:color="000000" w:sz="4"/>
              <w:left w:val="single" w:color="000000" w:sz="4"/>
              <w:bottom w:val="single" w:color="000000" w:sz="4"/>
              <w:right w:val="single" w:color="000000" w:sz="4"/>
            </w:tcBorders>
            <w:vAlign w:val="top"/>
          </w:tcPr>
          <w:p>
            <w:pPr>
              <w:jc w:val="center"/>
            </w:pPr>
            <w:r>
              <w:rPr>
                <w:b/>
                <w:sz w:val="21"/>
              </w:rPr>
              <w:t>问题类别</w:t>
            </w:r>
          </w:p>
        </w:tc>
      </w:tr>
      <w:tr>
        <w:tc>
          <w:tcPr>
            <w:tcW w:type="dxa" w:w="381"/>
            <w:vMerge w:val="restart"/>
            <w:tcBorders>
              <w:top w:val="none" w:color="000000" w:sz="4"/>
              <w:left w:val="single" w:color="000000" w:sz="4"/>
              <w:bottom w:val="single" w:color="000000" w:sz="4"/>
              <w:right w:val="single" w:color="000000" w:sz="4"/>
            </w:tcBorders>
            <w:vAlign w:val="top"/>
          </w:tcPr>
          <w:p>
            <w:r>
              <w:rPr>
                <w:sz w:val="21"/>
              </w:rPr>
              <w:t>1</w:t>
            </w:r>
          </w:p>
        </w:tc>
        <w:tc>
          <w:tcPr>
            <w:tcW w:type="dxa" w:w="1088"/>
            <w:vMerge w:val="restart"/>
            <w:tcBorders>
              <w:top w:val="none" w:color="000000" w:sz="4"/>
              <w:left w:val="single" w:color="000000" w:sz="4"/>
              <w:bottom w:val="single" w:color="000000" w:sz="4"/>
              <w:right w:val="single" w:color="000000" w:sz="4"/>
            </w:tcBorders>
            <w:vAlign w:val="top"/>
          </w:tcPr>
          <w:p>
            <w:r>
              <w:rPr>
                <w:sz w:val="21"/>
              </w:rPr>
              <w:t>20  年  月   日</w:t>
            </w:r>
          </w:p>
        </w:tc>
        <w:tc>
          <w:tcPr>
            <w:tcW w:type="dxa" w:w="2800"/>
            <w:tcBorders>
              <w:top w:val="none" w:color="000000" w:sz="4"/>
              <w:left w:val="single" w:color="000000" w:sz="4"/>
              <w:bottom w:val="single" w:color="000000" w:sz="4"/>
              <w:right w:val="single" w:color="000000" w:sz="4"/>
            </w:tcBorders>
            <w:vAlign w:val="top"/>
          </w:tcPr>
          <w:p/>
        </w:tc>
        <w:tc>
          <w:tcPr>
            <w:tcW w:type="dxa" w:w="1142"/>
            <w:tcBorders>
              <w:top w:val="none" w:color="000000" w:sz="4"/>
              <w:left w:val="single" w:color="000000" w:sz="4"/>
              <w:bottom w:val="single" w:color="000000" w:sz="4"/>
              <w:right w:val="single" w:color="000000" w:sz="4"/>
            </w:tcBorders>
            <w:vAlign w:val="top"/>
          </w:tcPr>
          <w:p/>
        </w:tc>
        <w:tc>
          <w:tcPr>
            <w:tcW w:type="dxa" w:w="748"/>
            <w:tcBorders>
              <w:top w:val="none" w:color="000000" w:sz="4"/>
              <w:left w:val="single" w:color="000000" w:sz="4"/>
              <w:bottom w:val="single" w:color="000000" w:sz="4"/>
              <w:right w:val="single" w:color="000000" w:sz="4"/>
            </w:tcBorders>
            <w:vAlign w:val="top"/>
          </w:tcPr>
          <w:p/>
        </w:tc>
        <w:tc>
          <w:tcPr>
            <w:tcW w:type="dxa" w:w="2148"/>
            <w:tcBorders>
              <w:top w:val="none" w:color="000000" w:sz="4"/>
              <w:left w:val="single" w:color="000000" w:sz="4"/>
              <w:bottom w:val="single" w:color="000000" w:sz="4"/>
              <w:right w:val="single" w:color="000000" w:sz="4"/>
            </w:tcBorders>
            <w:vAlign w:val="top"/>
          </w:tcPr>
          <w:p>
            <w:r>
              <w:rPr>
                <w:sz w:val="21"/>
              </w:rPr>
              <w:t>劝导工作内容考评</w:t>
            </w:r>
            <w:r>
              <w:rPr>
                <w:sz w:val="21"/>
              </w:rPr>
              <w:t>项</w:t>
            </w:r>
          </w:p>
        </w:tc>
      </w:tr>
      <w:tr>
        <w:tc>
          <w:tcPr>
            <w:tcW w:type="dxa" w:w="381"/>
            <w:vMerge/>
            <w:tcBorders>
              <w:top w:val="none" w:color="000000" w:sz="4"/>
              <w:left w:val="single" w:color="000000" w:sz="4"/>
              <w:bottom w:val="single" w:color="000000" w:sz="4"/>
              <w:right w:val="single" w:color="000000" w:sz="4"/>
            </w:tcBorders>
          </w:tcPr>
          <w:p/>
        </w:tc>
        <w:tc>
          <w:tcPr>
            <w:tcW w:type="dxa" w:w="1088"/>
            <w:vMerge/>
            <w:tcBorders>
              <w:top w:val="none" w:color="000000" w:sz="4"/>
              <w:left w:val="single" w:color="000000" w:sz="4"/>
              <w:bottom w:val="single" w:color="000000" w:sz="4"/>
              <w:right w:val="single" w:color="000000" w:sz="4"/>
            </w:tcBorders>
          </w:tcPr>
          <w:p/>
        </w:tc>
        <w:tc>
          <w:tcPr>
            <w:tcW w:type="dxa" w:w="2800"/>
            <w:tcBorders>
              <w:top w:val="none" w:color="000000" w:sz="4"/>
              <w:left w:val="single" w:color="000000" w:sz="4"/>
              <w:bottom w:val="single" w:color="000000" w:sz="4"/>
              <w:right w:val="single" w:color="000000" w:sz="4"/>
            </w:tcBorders>
            <w:vAlign w:val="top"/>
          </w:tcPr>
          <w:p/>
        </w:tc>
        <w:tc>
          <w:tcPr>
            <w:tcW w:type="dxa" w:w="1142"/>
            <w:tcBorders>
              <w:top w:val="none" w:color="000000" w:sz="4"/>
              <w:left w:val="single" w:color="000000" w:sz="4"/>
              <w:bottom w:val="single" w:color="000000" w:sz="4"/>
              <w:right w:val="single" w:color="000000" w:sz="4"/>
            </w:tcBorders>
            <w:vAlign w:val="top"/>
          </w:tcPr>
          <w:p/>
        </w:tc>
        <w:tc>
          <w:tcPr>
            <w:tcW w:type="dxa" w:w="748"/>
            <w:tcBorders>
              <w:top w:val="none" w:color="000000" w:sz="4"/>
              <w:left w:val="single" w:color="000000" w:sz="4"/>
              <w:bottom w:val="single" w:color="000000" w:sz="4"/>
              <w:right w:val="single" w:color="000000" w:sz="4"/>
            </w:tcBorders>
            <w:vAlign w:val="top"/>
          </w:tcPr>
          <w:p/>
        </w:tc>
        <w:tc>
          <w:tcPr>
            <w:tcW w:type="dxa" w:w="2148"/>
            <w:tcBorders>
              <w:top w:val="none" w:color="000000" w:sz="4"/>
              <w:left w:val="single" w:color="000000" w:sz="4"/>
              <w:bottom w:val="single" w:color="000000" w:sz="4"/>
              <w:right w:val="single" w:color="000000" w:sz="4"/>
            </w:tcBorders>
            <w:vAlign w:val="top"/>
          </w:tcPr>
          <w:p>
            <w:r>
              <w:rPr>
                <w:sz w:val="21"/>
              </w:rPr>
              <w:t>劝导工作内容考评</w:t>
            </w:r>
            <w:r>
              <w:rPr>
                <w:sz w:val="21"/>
              </w:rPr>
              <w:t>项</w:t>
            </w:r>
          </w:p>
        </w:tc>
      </w:tr>
      <w:tr>
        <w:tc>
          <w:tcPr>
            <w:tcW w:type="dxa" w:w="4269"/>
            <w:gridSpan w:val="3"/>
            <w:tcBorders>
              <w:top w:val="none" w:color="000000" w:sz="4"/>
              <w:left w:val="single" w:color="000000" w:sz="4"/>
              <w:bottom w:val="single" w:color="000000" w:sz="4"/>
              <w:right w:val="single" w:color="000000" w:sz="4"/>
            </w:tcBorders>
            <w:vAlign w:val="top"/>
          </w:tcPr>
          <w:p>
            <w:r>
              <w:rPr>
                <w:b/>
                <w:sz w:val="21"/>
              </w:rPr>
              <w:t>小计</w:t>
            </w:r>
          </w:p>
        </w:tc>
        <w:tc>
          <w:tcPr>
            <w:tcW w:type="dxa" w:w="1142"/>
            <w:tcBorders>
              <w:top w:val="none" w:color="000000" w:sz="4"/>
              <w:left w:val="single" w:color="000000" w:sz="4"/>
              <w:bottom w:val="single" w:color="000000" w:sz="4"/>
              <w:right w:val="single" w:color="000000" w:sz="4"/>
            </w:tcBorders>
            <w:vAlign w:val="top"/>
          </w:tcPr>
          <w:p/>
        </w:tc>
        <w:tc>
          <w:tcPr>
            <w:tcW w:type="dxa" w:w="748"/>
            <w:tcBorders>
              <w:top w:val="none" w:color="000000" w:sz="4"/>
              <w:left w:val="single" w:color="000000" w:sz="4"/>
              <w:bottom w:val="single" w:color="000000" w:sz="4"/>
              <w:right w:val="single" w:color="000000" w:sz="4"/>
            </w:tcBorders>
            <w:vAlign w:val="top"/>
          </w:tcPr>
          <w:p/>
        </w:tc>
        <w:tc>
          <w:tcPr>
            <w:tcW w:type="dxa" w:w="2148"/>
            <w:tcBorders>
              <w:top w:val="none" w:color="000000" w:sz="4"/>
              <w:left w:val="single" w:color="000000" w:sz="4"/>
              <w:bottom w:val="single" w:color="000000" w:sz="4"/>
              <w:right w:val="single" w:color="000000" w:sz="4"/>
            </w:tcBorders>
            <w:vAlign w:val="top"/>
          </w:tcPr>
          <w:p/>
        </w:tc>
      </w:tr>
      <w:tr>
        <w:tc>
          <w:tcPr>
            <w:tcW w:type="dxa" w:w="4269"/>
            <w:gridSpan w:val="3"/>
            <w:tcBorders>
              <w:top w:val="none" w:color="000000" w:sz="4"/>
              <w:left w:val="single" w:color="000000" w:sz="4"/>
              <w:bottom w:val="single" w:color="000000" w:sz="4"/>
              <w:right w:val="single" w:color="000000" w:sz="4"/>
            </w:tcBorders>
            <w:vAlign w:val="top"/>
          </w:tcPr>
          <w:p>
            <w:r>
              <w:rPr>
                <w:b/>
                <w:sz w:val="21"/>
              </w:rPr>
              <w:t>合计</w:t>
            </w:r>
          </w:p>
        </w:tc>
        <w:tc>
          <w:tcPr>
            <w:tcW w:type="dxa" w:w="1142"/>
            <w:tcBorders>
              <w:top w:val="none" w:color="000000" w:sz="4"/>
              <w:left w:val="single" w:color="000000" w:sz="4"/>
              <w:bottom w:val="single" w:color="000000" w:sz="4"/>
              <w:right w:val="single" w:color="000000" w:sz="4"/>
            </w:tcBorders>
            <w:vAlign w:val="top"/>
          </w:tcPr>
          <w:p/>
        </w:tc>
        <w:tc>
          <w:tcPr>
            <w:tcW w:type="dxa" w:w="748"/>
            <w:tcBorders>
              <w:top w:val="none" w:color="000000" w:sz="4"/>
              <w:left w:val="single" w:color="000000" w:sz="4"/>
              <w:bottom w:val="single" w:color="000000" w:sz="4"/>
              <w:right w:val="single" w:color="000000" w:sz="4"/>
            </w:tcBorders>
            <w:vAlign w:val="top"/>
          </w:tcPr>
          <w:p/>
        </w:tc>
        <w:tc>
          <w:tcPr>
            <w:tcW w:type="dxa" w:w="2148"/>
            <w:tcBorders>
              <w:top w:val="none" w:color="000000" w:sz="4"/>
              <w:left w:val="single" w:color="000000" w:sz="4"/>
              <w:bottom w:val="single" w:color="000000" w:sz="4"/>
              <w:right w:val="single" w:color="000000" w:sz="4"/>
            </w:tcBorders>
            <w:vAlign w:val="top"/>
          </w:tcPr>
          <w:p/>
        </w:tc>
      </w:tr>
      <w:tr>
        <w:tc>
          <w:tcPr>
            <w:tcW w:type="dxa" w:w="381"/>
            <w:tcBorders>
              <w:top w:val="none" w:color="000000" w:sz="4"/>
              <w:left w:val="single" w:color="000000" w:sz="4"/>
              <w:bottom w:val="single" w:color="000000" w:sz="4"/>
              <w:right w:val="single" w:color="000000" w:sz="4"/>
            </w:tcBorders>
            <w:vAlign w:val="top"/>
          </w:tcPr>
          <w:p>
            <w:r>
              <w:rPr>
                <w:b/>
                <w:sz w:val="21"/>
              </w:rPr>
              <w:t>序号</w:t>
            </w:r>
          </w:p>
        </w:tc>
        <w:tc>
          <w:tcPr>
            <w:tcW w:type="dxa" w:w="1088"/>
            <w:tcBorders>
              <w:top w:val="none" w:color="000000" w:sz="4"/>
              <w:left w:val="single" w:color="000000" w:sz="4"/>
              <w:bottom w:val="single" w:color="000000" w:sz="4"/>
              <w:right w:val="single" w:color="000000" w:sz="4"/>
            </w:tcBorders>
            <w:vAlign w:val="top"/>
          </w:tcPr>
          <w:p>
            <w:r>
              <w:rPr>
                <w:b/>
                <w:sz w:val="21"/>
              </w:rPr>
              <w:t>月考评</w:t>
            </w:r>
            <w:r>
              <w:rPr>
                <w:b/>
                <w:sz w:val="21"/>
              </w:rPr>
              <w:t>(明检)时间</w:t>
            </w:r>
          </w:p>
        </w:tc>
        <w:tc>
          <w:tcPr>
            <w:tcW w:type="dxa" w:w="2800"/>
            <w:tcBorders>
              <w:top w:val="none" w:color="000000" w:sz="4"/>
              <w:left w:val="single" w:color="000000" w:sz="4"/>
              <w:bottom w:val="single" w:color="000000" w:sz="4"/>
              <w:right w:val="single" w:color="000000" w:sz="4"/>
            </w:tcBorders>
            <w:vAlign w:val="top"/>
          </w:tcPr>
          <w:p>
            <w:r>
              <w:rPr>
                <w:b/>
                <w:sz w:val="21"/>
              </w:rPr>
              <w:t>月考评处置单（明检）内容</w:t>
            </w:r>
          </w:p>
        </w:tc>
        <w:tc>
          <w:tcPr>
            <w:tcW w:type="dxa" w:w="1142"/>
            <w:tcBorders>
              <w:top w:val="none" w:color="000000" w:sz="4"/>
              <w:left w:val="single" w:color="000000" w:sz="4"/>
              <w:bottom w:val="single" w:color="000000" w:sz="4"/>
              <w:right w:val="single" w:color="000000" w:sz="4"/>
            </w:tcBorders>
            <w:vAlign w:val="top"/>
          </w:tcPr>
          <w:p>
            <w:r>
              <w:rPr>
                <w:b/>
                <w:sz w:val="21"/>
              </w:rPr>
              <w:t>扣分</w:t>
            </w:r>
          </w:p>
        </w:tc>
        <w:tc>
          <w:tcPr>
            <w:tcW w:type="dxa" w:w="748"/>
            <w:tcBorders>
              <w:top w:val="single" w:color="000000" w:sz="4"/>
              <w:left w:val="single" w:color="000000" w:sz="4"/>
              <w:bottom w:val="single" w:color="000000" w:sz="4"/>
              <w:right w:val="single" w:color="000000" w:sz="4"/>
            </w:tcBorders>
            <w:vAlign w:val="top"/>
          </w:tcPr>
          <w:p>
            <w:r>
              <w:rPr>
                <w:b/>
                <w:sz w:val="21"/>
              </w:rPr>
              <w:t>扣减金额</w:t>
            </w:r>
          </w:p>
        </w:tc>
        <w:tc>
          <w:tcPr>
            <w:tcW w:type="dxa" w:w="2148"/>
            <w:tcBorders>
              <w:top w:val="single" w:color="000000" w:sz="4"/>
              <w:left w:val="single" w:color="000000" w:sz="4"/>
              <w:bottom w:val="single" w:color="000000" w:sz="4"/>
              <w:right w:val="single" w:color="000000" w:sz="4"/>
            </w:tcBorders>
            <w:vAlign w:val="top"/>
          </w:tcPr>
          <w:p>
            <w:r>
              <w:rPr>
                <w:b/>
                <w:sz w:val="21"/>
              </w:rPr>
              <w:t>问题类别</w:t>
            </w:r>
          </w:p>
        </w:tc>
      </w:tr>
      <w:tr>
        <w:tc>
          <w:tcPr>
            <w:tcW w:type="dxa" w:w="381"/>
            <w:vMerge w:val="restart"/>
            <w:tcBorders>
              <w:top w:val="none" w:color="000000" w:sz="4"/>
              <w:left w:val="single" w:color="000000" w:sz="4"/>
              <w:bottom w:val="single" w:color="000000" w:sz="4"/>
              <w:right w:val="single" w:color="000000" w:sz="4"/>
            </w:tcBorders>
            <w:vAlign w:val="top"/>
          </w:tcPr>
          <w:p>
            <w:r>
              <w:rPr>
                <w:sz w:val="21"/>
              </w:rPr>
              <w:t>1</w:t>
            </w:r>
          </w:p>
        </w:tc>
        <w:tc>
          <w:tcPr>
            <w:tcW w:type="dxa" w:w="1088"/>
            <w:vMerge w:val="restart"/>
            <w:tcBorders>
              <w:top w:val="none" w:color="000000" w:sz="4"/>
              <w:left w:val="single" w:color="000000" w:sz="4"/>
              <w:bottom w:val="single" w:color="000000" w:sz="4"/>
              <w:right w:val="single" w:color="000000" w:sz="4"/>
            </w:tcBorders>
            <w:vAlign w:val="top"/>
          </w:tcPr>
          <w:p>
            <w:r>
              <w:rPr>
                <w:sz w:val="21"/>
              </w:rPr>
              <w:t xml:space="preserve">20  </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2800"/>
            <w:tcBorders>
              <w:top w:val="none" w:color="000000" w:sz="4"/>
              <w:left w:val="single" w:color="000000" w:sz="4"/>
              <w:bottom w:val="single" w:color="000000" w:sz="4"/>
              <w:right w:val="single" w:color="000000" w:sz="4"/>
            </w:tcBorders>
            <w:vAlign w:val="top"/>
          </w:tcPr>
          <w:p/>
        </w:tc>
        <w:tc>
          <w:tcPr>
            <w:tcW w:type="dxa" w:w="1142"/>
            <w:tcBorders>
              <w:top w:val="none" w:color="000000" w:sz="4"/>
              <w:left w:val="single" w:color="000000" w:sz="4"/>
              <w:bottom w:val="single" w:color="000000" w:sz="4"/>
              <w:right w:val="single" w:color="000000" w:sz="4"/>
            </w:tcBorders>
            <w:vAlign w:val="top"/>
          </w:tcPr>
          <w:p/>
        </w:tc>
        <w:tc>
          <w:tcPr>
            <w:tcW w:type="dxa" w:w="748"/>
            <w:tcBorders>
              <w:top w:val="none" w:color="000000" w:sz="4"/>
              <w:left w:val="single" w:color="000000" w:sz="4"/>
              <w:bottom w:val="single" w:color="000000" w:sz="4"/>
              <w:right w:val="single" w:color="000000" w:sz="4"/>
            </w:tcBorders>
            <w:vAlign w:val="top"/>
          </w:tcPr>
          <w:p>
            <w:r>
              <w:rPr>
                <w:sz w:val="21"/>
              </w:rPr>
              <w:t>-</w:t>
            </w:r>
          </w:p>
        </w:tc>
        <w:tc>
          <w:tcPr>
            <w:tcW w:type="dxa" w:w="2148"/>
            <w:tcBorders>
              <w:top w:val="none" w:color="000000" w:sz="4"/>
              <w:left w:val="single" w:color="000000" w:sz="4"/>
              <w:bottom w:val="single" w:color="000000" w:sz="4"/>
              <w:right w:val="single" w:color="000000" w:sz="4"/>
            </w:tcBorders>
            <w:vAlign w:val="top"/>
          </w:tcPr>
          <w:p>
            <w:r>
              <w:rPr>
                <w:sz w:val="21"/>
              </w:rPr>
              <w:t>劝导工作内容考评</w:t>
            </w:r>
            <w:r>
              <w:rPr>
                <w:sz w:val="21"/>
              </w:rPr>
              <w:t>项</w:t>
            </w:r>
          </w:p>
        </w:tc>
      </w:tr>
      <w:tr>
        <w:tc>
          <w:tcPr>
            <w:tcW w:type="dxa" w:w="381"/>
            <w:vMerge/>
            <w:tcBorders>
              <w:top w:val="none" w:color="000000" w:sz="4"/>
              <w:left w:val="single" w:color="000000" w:sz="4"/>
              <w:bottom w:val="single" w:color="000000" w:sz="4"/>
              <w:right w:val="single" w:color="000000" w:sz="4"/>
            </w:tcBorders>
          </w:tcPr>
          <w:p/>
        </w:tc>
        <w:tc>
          <w:tcPr>
            <w:tcW w:type="dxa" w:w="1088"/>
            <w:vMerge/>
            <w:tcBorders>
              <w:top w:val="none" w:color="000000" w:sz="4"/>
              <w:left w:val="single" w:color="000000" w:sz="4"/>
              <w:bottom w:val="single" w:color="000000" w:sz="4"/>
              <w:right w:val="single" w:color="000000" w:sz="4"/>
            </w:tcBorders>
          </w:tcPr>
          <w:p/>
        </w:tc>
        <w:tc>
          <w:tcPr>
            <w:tcW w:type="dxa" w:w="2800"/>
            <w:tcBorders>
              <w:top w:val="none" w:color="000000" w:sz="4"/>
              <w:left w:val="single" w:color="000000" w:sz="4"/>
              <w:bottom w:val="single" w:color="000000" w:sz="4"/>
              <w:right w:val="single" w:color="000000" w:sz="4"/>
            </w:tcBorders>
            <w:vAlign w:val="top"/>
          </w:tcPr>
          <w:p/>
        </w:tc>
        <w:tc>
          <w:tcPr>
            <w:tcW w:type="dxa" w:w="1142"/>
            <w:tcBorders>
              <w:top w:val="none" w:color="000000" w:sz="4"/>
              <w:left w:val="single" w:color="000000" w:sz="4"/>
              <w:bottom w:val="single" w:color="000000" w:sz="4"/>
              <w:right w:val="single" w:color="000000" w:sz="4"/>
            </w:tcBorders>
            <w:vAlign w:val="top"/>
          </w:tcPr>
          <w:p/>
        </w:tc>
        <w:tc>
          <w:tcPr>
            <w:tcW w:type="dxa" w:w="748"/>
            <w:tcBorders>
              <w:top w:val="none" w:color="000000" w:sz="4"/>
              <w:left w:val="single" w:color="000000" w:sz="4"/>
              <w:bottom w:val="single" w:color="000000" w:sz="4"/>
              <w:right w:val="single" w:color="000000" w:sz="4"/>
            </w:tcBorders>
            <w:vAlign w:val="top"/>
          </w:tcPr>
          <w:p>
            <w:r>
              <w:rPr>
                <w:sz w:val="21"/>
              </w:rPr>
              <w:t>-</w:t>
            </w:r>
          </w:p>
        </w:tc>
        <w:tc>
          <w:tcPr>
            <w:tcW w:type="dxa" w:w="2148"/>
            <w:tcBorders>
              <w:top w:val="none" w:color="000000" w:sz="4"/>
              <w:left w:val="single" w:color="000000" w:sz="4"/>
              <w:bottom w:val="single" w:color="000000" w:sz="4"/>
              <w:right w:val="single" w:color="000000" w:sz="4"/>
            </w:tcBorders>
            <w:vAlign w:val="top"/>
          </w:tcPr>
          <w:p>
            <w:r>
              <w:rPr>
                <w:sz w:val="21"/>
              </w:rPr>
              <w:t>劝导工作内容考评</w:t>
            </w:r>
            <w:r>
              <w:rPr>
                <w:sz w:val="21"/>
              </w:rPr>
              <w:t>项</w:t>
            </w:r>
          </w:p>
        </w:tc>
      </w:tr>
      <w:tr>
        <w:tc>
          <w:tcPr>
            <w:tcW w:type="dxa" w:w="381"/>
            <w:vMerge/>
            <w:tcBorders>
              <w:top w:val="none" w:color="000000" w:sz="4"/>
              <w:left w:val="single" w:color="000000" w:sz="4"/>
              <w:bottom w:val="single" w:color="000000" w:sz="4"/>
              <w:right w:val="single" w:color="000000" w:sz="4"/>
            </w:tcBorders>
          </w:tcPr>
          <w:p/>
        </w:tc>
        <w:tc>
          <w:tcPr>
            <w:tcW w:type="dxa" w:w="1088"/>
            <w:vMerge/>
            <w:tcBorders>
              <w:top w:val="none" w:color="000000" w:sz="4"/>
              <w:left w:val="single" w:color="000000" w:sz="4"/>
              <w:bottom w:val="single" w:color="000000" w:sz="4"/>
              <w:right w:val="single" w:color="000000" w:sz="4"/>
            </w:tcBorders>
          </w:tcPr>
          <w:p/>
        </w:tc>
        <w:tc>
          <w:tcPr>
            <w:tcW w:type="dxa" w:w="2800"/>
            <w:tcBorders>
              <w:top w:val="none" w:color="000000" w:sz="4"/>
              <w:left w:val="single" w:color="000000" w:sz="4"/>
              <w:bottom w:val="single" w:color="000000" w:sz="4"/>
              <w:right w:val="single" w:color="000000" w:sz="4"/>
            </w:tcBorders>
            <w:vAlign w:val="top"/>
          </w:tcPr>
          <w:p>
            <w:r>
              <w:rPr>
                <w:sz w:val="21"/>
              </w:rPr>
              <w:t>月度暗检累计扣分分数</w:t>
            </w:r>
            <w:r>
              <w:rPr>
                <w:sz w:val="21"/>
              </w:rPr>
              <w:t>×</w:t>
            </w:r>
            <w:r>
              <w:rPr>
                <w:sz w:val="21"/>
              </w:rPr>
              <w:t>10%</w:t>
            </w:r>
          </w:p>
        </w:tc>
        <w:tc>
          <w:tcPr>
            <w:tcW w:type="dxa" w:w="1142"/>
            <w:tcBorders>
              <w:top w:val="none" w:color="000000" w:sz="4"/>
              <w:left w:val="single" w:color="000000" w:sz="4"/>
              <w:bottom w:val="single" w:color="000000" w:sz="4"/>
              <w:right w:val="single" w:color="000000" w:sz="4"/>
            </w:tcBorders>
            <w:vAlign w:val="top"/>
          </w:tcPr>
          <w:p/>
        </w:tc>
        <w:tc>
          <w:tcPr>
            <w:tcW w:type="dxa" w:w="748"/>
            <w:tcBorders>
              <w:top w:val="none" w:color="000000" w:sz="4"/>
              <w:left w:val="single" w:color="000000" w:sz="4"/>
              <w:bottom w:val="single" w:color="000000" w:sz="4"/>
              <w:right w:val="single" w:color="000000" w:sz="4"/>
            </w:tcBorders>
            <w:vAlign w:val="top"/>
          </w:tcPr>
          <w:p>
            <w:r>
              <w:rPr>
                <w:sz w:val="21"/>
              </w:rPr>
              <w:t>-</w:t>
            </w:r>
          </w:p>
        </w:tc>
        <w:tc>
          <w:tcPr>
            <w:tcW w:type="dxa" w:w="2148"/>
            <w:tcBorders>
              <w:top w:val="none" w:color="000000" w:sz="4"/>
              <w:left w:val="single" w:color="000000" w:sz="4"/>
              <w:bottom w:val="single" w:color="000000" w:sz="4"/>
              <w:right w:val="single" w:color="000000" w:sz="4"/>
            </w:tcBorders>
            <w:vAlign w:val="top"/>
          </w:tcPr>
          <w:p>
            <w:r>
              <w:rPr>
                <w:sz w:val="21"/>
              </w:rPr>
              <w:t>20  年  月度暗检累计扣   分</w:t>
            </w:r>
          </w:p>
        </w:tc>
      </w:tr>
      <w:tr>
        <w:tc>
          <w:tcPr>
            <w:tcW w:type="dxa" w:w="4269"/>
            <w:gridSpan w:val="3"/>
            <w:tcBorders>
              <w:top w:val="none" w:color="000000" w:sz="4"/>
              <w:left w:val="single" w:color="000000" w:sz="4"/>
              <w:bottom w:val="single" w:color="000000" w:sz="4"/>
              <w:right w:val="single" w:color="000000" w:sz="4"/>
            </w:tcBorders>
            <w:vAlign w:val="top"/>
          </w:tcPr>
          <w:p>
            <w:pPr>
              <w:jc w:val="both"/>
            </w:pPr>
            <w:r>
              <w:rPr>
                <w:b/>
                <w:sz w:val="21"/>
              </w:rPr>
              <w:t>合计</w:t>
            </w:r>
          </w:p>
        </w:tc>
        <w:tc>
          <w:tcPr>
            <w:tcW w:type="dxa" w:w="1142"/>
            <w:tcBorders>
              <w:top w:val="none" w:color="000000" w:sz="4"/>
              <w:left w:val="single" w:color="000000" w:sz="4"/>
              <w:bottom w:val="single" w:color="000000" w:sz="4"/>
              <w:right w:val="single" w:color="000000" w:sz="4"/>
            </w:tcBorders>
            <w:vAlign w:val="top"/>
          </w:tcPr>
          <w:p/>
        </w:tc>
        <w:tc>
          <w:tcPr>
            <w:tcW w:type="dxa" w:w="748"/>
            <w:tcBorders>
              <w:top w:val="none" w:color="000000" w:sz="4"/>
              <w:left w:val="single" w:color="000000" w:sz="4"/>
              <w:bottom w:val="single" w:color="000000" w:sz="4"/>
              <w:right w:val="single" w:color="000000" w:sz="4"/>
            </w:tcBorders>
            <w:vAlign w:val="top"/>
          </w:tcPr>
          <w:p>
            <w:r>
              <w:rPr>
                <w:b/>
                <w:sz w:val="21"/>
              </w:rPr>
              <w:t>-</w:t>
            </w:r>
          </w:p>
        </w:tc>
        <w:tc>
          <w:tcPr>
            <w:tcW w:type="dxa" w:w="2148"/>
            <w:tcBorders>
              <w:top w:val="none" w:color="000000" w:sz="4"/>
              <w:left w:val="single" w:color="000000" w:sz="4"/>
              <w:bottom w:val="single" w:color="000000" w:sz="4"/>
              <w:right w:val="single" w:color="000000" w:sz="4"/>
            </w:tcBorders>
            <w:vAlign w:val="top"/>
          </w:tcPr>
          <w:p/>
        </w:tc>
      </w:tr>
      <w:tr>
        <w:tc>
          <w:tcPr>
            <w:tcW w:type="dxa" w:w="8307"/>
            <w:gridSpan w:val="6"/>
            <w:tcBorders>
              <w:top w:val="none" w:color="000000" w:sz="4"/>
              <w:left w:val="single" w:color="000000" w:sz="4"/>
              <w:bottom w:val="single" w:color="000000" w:sz="4"/>
              <w:right w:val="single" w:color="000000" w:sz="4"/>
            </w:tcBorders>
            <w:vAlign w:val="top"/>
          </w:tcPr>
          <w:p>
            <w:r>
              <w:rPr>
                <w:sz w:val="21"/>
              </w:rPr>
              <w:t>路面效果月度考核分数汇总：</w:t>
            </w:r>
          </w:p>
          <w:p>
            <w:r>
              <w:rPr>
                <w:sz w:val="21"/>
              </w:rPr>
              <w:t>20  年  月暗检考评次数为  次，明检1次，路面效果考核分数为    分，累计扣减金额为    元。</w:t>
            </w:r>
          </w:p>
        </w:tc>
      </w:tr>
      <w:tr>
        <w:tc>
          <w:tcPr>
            <w:tcW w:type="dxa" w:w="8307"/>
            <w:gridSpan w:val="6"/>
            <w:tcBorders>
              <w:top w:val="none" w:color="000000" w:sz="4"/>
              <w:left w:val="single" w:color="000000" w:sz="4"/>
              <w:bottom w:val="single" w:color="000000" w:sz="4"/>
              <w:right w:val="single" w:color="000000" w:sz="4"/>
            </w:tcBorders>
            <w:vAlign w:val="top"/>
          </w:tcPr>
          <w:p>
            <w:r>
              <w:rPr>
                <w:sz w:val="21"/>
              </w:rPr>
              <w:t>考核单位确认（盖章）：</w:t>
            </w:r>
            <w:r>
              <w:rPr>
                <w:sz w:val="21"/>
              </w:rPr>
              <w:t xml:space="preserve">                              </w:t>
            </w:r>
            <w:r>
              <w:rPr>
                <w:sz w:val="21"/>
              </w:rPr>
              <w:t>承包单位确认（盖章）：</w:t>
            </w:r>
          </w:p>
        </w:tc>
      </w:tr>
    </w:tbl>
    <w:p>
      <w:pPr>
        <w:jc w:val="center"/>
      </w:pPr>
    </w:p>
    <w:p>
      <w:pPr>
        <w:jc w:val="center"/>
      </w:pPr>
    </w:p>
    <w:p>
      <w:pPr>
        <w:ind w:firstLine="211"/>
      </w:pPr>
    </w:p>
    <w:p>
      <w:pPr>
        <w:ind w:firstLine="211"/>
      </w:pPr>
    </w:p>
    <w:p>
      <w:pPr>
        <w:ind w:firstLine="211"/>
      </w:pPr>
      <w:r>
        <w:rPr>
          <w:b/>
          <w:sz w:val="21"/>
        </w:rPr>
        <w:t>附件三《内务考评月评分表》</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589"/>
        <w:gridCol w:w="3999"/>
        <w:gridCol w:w="2020"/>
        <w:gridCol w:w="1097"/>
        <w:gridCol w:w="602"/>
      </w:tblGrid>
      <w:tr>
        <w:tc>
          <w:tcPr>
            <w:tcW w:type="dxa" w:w="8307"/>
            <w:gridSpan w:val="5"/>
            <w:tcBorders>
              <w:top w:val="single" w:color="000000" w:sz="4"/>
              <w:left w:val="single" w:color="000000" w:sz="4"/>
              <w:bottom w:val="single" w:color="000000" w:sz="4"/>
              <w:right w:val="single" w:color="000000" w:sz="4"/>
            </w:tcBorders>
            <w:vAlign w:val="top"/>
          </w:tcPr>
          <w:p>
            <w:pPr>
              <w:jc w:val="center"/>
            </w:pPr>
            <w:r>
              <w:rPr>
                <w:sz w:val="21"/>
              </w:rPr>
              <w:t>南庄镇市容环境管理文明劝导外包服务（</w:t>
            </w:r>
            <w:r>
              <w:rPr>
                <w:sz w:val="21"/>
              </w:rPr>
              <w:t>202</w:t>
            </w:r>
            <w:r>
              <w:rPr>
                <w:sz w:val="21"/>
              </w:rPr>
              <w:t>3</w:t>
            </w:r>
            <w:r>
              <w:rPr>
                <w:sz w:val="21"/>
              </w:rPr>
              <w:t>年）采购项目</w:t>
            </w:r>
          </w:p>
          <w:p>
            <w:pPr>
              <w:jc w:val="center"/>
            </w:pPr>
            <w:r>
              <w:rPr>
                <w:sz w:val="21"/>
              </w:rPr>
              <w:t>内务考评月评分表</w:t>
            </w:r>
          </w:p>
        </w:tc>
      </w:tr>
      <w:tr>
        <w:tc>
          <w:tcPr>
            <w:tcW w:type="dxa" w:w="589"/>
            <w:tcBorders>
              <w:top w:val="none" w:color="000000" w:sz="4"/>
              <w:left w:val="single" w:color="000000" w:sz="4"/>
              <w:bottom w:val="single" w:color="000000" w:sz="4"/>
              <w:right w:val="single" w:color="000000" w:sz="4"/>
            </w:tcBorders>
            <w:vAlign w:val="top"/>
          </w:tcPr>
          <w:p>
            <w:pPr>
              <w:jc w:val="center"/>
            </w:pPr>
            <w:r>
              <w:rPr>
                <w:color w:val="000000"/>
                <w:sz w:val="21"/>
              </w:rPr>
              <w:t>服务单位</w:t>
            </w:r>
          </w:p>
        </w:tc>
        <w:tc>
          <w:tcPr>
            <w:tcW w:type="dxa" w:w="3999"/>
            <w:tcBorders>
              <w:top w:val="single" w:color="000000" w:sz="4"/>
              <w:left w:val="single" w:color="000000" w:sz="4"/>
              <w:bottom w:val="single" w:color="000000" w:sz="4"/>
              <w:right w:val="single" w:color="000000" w:sz="4"/>
            </w:tcBorders>
            <w:vAlign w:val="top"/>
          </w:tcPr>
          <w:p>
            <w:pPr>
              <w:jc w:val="center"/>
            </w:pPr>
          </w:p>
        </w:tc>
        <w:tc>
          <w:tcPr>
            <w:tcW w:type="dxa" w:w="3719"/>
            <w:gridSpan w:val="3"/>
            <w:tcBorders>
              <w:top w:val="single" w:color="000000" w:sz="4"/>
              <w:left w:val="single" w:color="000000" w:sz="4"/>
              <w:bottom w:val="single" w:color="000000" w:sz="4"/>
              <w:right w:val="single" w:color="000000" w:sz="4"/>
            </w:tcBorders>
            <w:vAlign w:val="top"/>
          </w:tcPr>
          <w:p>
            <w:pPr>
              <w:jc w:val="center"/>
            </w:pPr>
            <w:r>
              <w:rPr>
                <w:sz w:val="21"/>
              </w:rPr>
              <w:t>检查时间：</w:t>
            </w:r>
            <w:r>
              <w:rPr>
                <w:color w:val="000000"/>
                <w:sz w:val="21"/>
              </w:rPr>
              <w:t>20    年    月    日</w:t>
            </w:r>
          </w:p>
        </w:tc>
      </w:tr>
      <w:tr>
        <w:tc>
          <w:tcPr>
            <w:tcW w:type="dxa" w:w="589"/>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3999"/>
            <w:tcBorders>
              <w:top w:val="none" w:color="000000" w:sz="4"/>
              <w:left w:val="single" w:color="000000" w:sz="4"/>
              <w:bottom w:val="single" w:color="000000" w:sz="4"/>
              <w:right w:val="single" w:color="000000" w:sz="4"/>
            </w:tcBorders>
            <w:vAlign w:val="top"/>
          </w:tcPr>
          <w:p>
            <w:pPr>
              <w:jc w:val="center"/>
            </w:pPr>
            <w:r>
              <w:rPr>
                <w:color w:val="000000"/>
                <w:sz w:val="21"/>
              </w:rPr>
              <w:t>检查内容</w:t>
            </w:r>
          </w:p>
        </w:tc>
        <w:tc>
          <w:tcPr>
            <w:tcW w:type="dxa" w:w="2020"/>
            <w:tcBorders>
              <w:top w:val="none" w:color="000000" w:sz="4"/>
              <w:left w:val="single" w:color="000000" w:sz="4"/>
              <w:bottom w:val="single" w:color="000000" w:sz="4"/>
              <w:right w:val="single" w:color="000000" w:sz="4"/>
            </w:tcBorders>
            <w:vAlign w:val="top"/>
          </w:tcPr>
          <w:p>
            <w:pPr>
              <w:jc w:val="center"/>
            </w:pPr>
            <w:r>
              <w:rPr>
                <w:color w:val="000000"/>
                <w:sz w:val="21"/>
              </w:rPr>
              <w:t>评分标准</w:t>
            </w:r>
          </w:p>
        </w:tc>
        <w:tc>
          <w:tcPr>
            <w:tcW w:type="dxa" w:w="1097"/>
            <w:tcBorders>
              <w:top w:val="single" w:color="000000" w:sz="4"/>
              <w:left w:val="single" w:color="000000" w:sz="4"/>
              <w:bottom w:val="single" w:color="000000" w:sz="4"/>
              <w:right w:val="single" w:color="000000" w:sz="4"/>
            </w:tcBorders>
            <w:vAlign w:val="top"/>
          </w:tcPr>
          <w:p>
            <w:pPr>
              <w:jc w:val="center"/>
            </w:pPr>
            <w:r>
              <w:rPr>
                <w:sz w:val="21"/>
              </w:rPr>
              <w:t>问题次数</w:t>
            </w:r>
          </w:p>
        </w:tc>
        <w:tc>
          <w:tcPr>
            <w:tcW w:type="dxa" w:w="602"/>
            <w:tcBorders>
              <w:top w:val="single" w:color="000000" w:sz="4"/>
              <w:left w:val="single" w:color="000000" w:sz="4"/>
              <w:bottom w:val="single" w:color="000000" w:sz="4"/>
              <w:right w:val="single" w:color="000000" w:sz="4"/>
            </w:tcBorders>
            <w:vAlign w:val="top"/>
          </w:tcPr>
          <w:p>
            <w:pPr>
              <w:jc w:val="center"/>
            </w:pPr>
            <w:r>
              <w:rPr>
                <w:color w:val="000000"/>
                <w:sz w:val="21"/>
              </w:rPr>
              <w:t>得分</w:t>
            </w:r>
          </w:p>
        </w:tc>
      </w:tr>
      <w:tr>
        <w:tc>
          <w:tcPr>
            <w:tcW w:type="dxa" w:w="58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3999"/>
            <w:tcBorders>
              <w:top w:val="none" w:color="000000" w:sz="4"/>
              <w:left w:val="single" w:color="000000" w:sz="4"/>
              <w:bottom w:val="single" w:color="000000" w:sz="4"/>
              <w:right w:val="single" w:color="000000" w:sz="4"/>
            </w:tcBorders>
            <w:vAlign w:val="top"/>
          </w:tcPr>
          <w:p>
            <w:r>
              <w:rPr>
                <w:sz w:val="21"/>
              </w:rPr>
              <w:t>发现没有按服务人员配置要求执行的</w:t>
            </w:r>
          </w:p>
        </w:tc>
        <w:tc>
          <w:tcPr>
            <w:tcW w:type="dxa" w:w="2020"/>
            <w:tcBorders>
              <w:top w:val="none" w:color="000000" w:sz="4"/>
              <w:left w:val="single" w:color="000000" w:sz="4"/>
              <w:bottom w:val="single" w:color="000000" w:sz="4"/>
              <w:right w:val="single" w:color="000000" w:sz="4"/>
            </w:tcBorders>
            <w:vAlign w:val="top"/>
          </w:tcPr>
          <w:p>
            <w:pPr>
              <w:jc w:val="center"/>
            </w:pPr>
            <w:r>
              <w:rPr>
                <w:color w:val="000000"/>
                <w:sz w:val="21"/>
              </w:rPr>
              <w:t>每发现一项扣</w:t>
            </w:r>
            <w:r>
              <w:rPr>
                <w:color w:val="000000"/>
                <w:sz w:val="21"/>
              </w:rPr>
              <w:t>3分</w:t>
            </w:r>
          </w:p>
        </w:tc>
        <w:tc>
          <w:tcPr>
            <w:tcW w:type="dxa" w:w="1097"/>
            <w:tcBorders>
              <w:top w:val="none" w:color="000000" w:sz="4"/>
              <w:left w:val="single" w:color="000000" w:sz="4"/>
              <w:bottom w:val="single" w:color="000000" w:sz="4"/>
              <w:right w:val="single" w:color="000000" w:sz="4"/>
            </w:tcBorders>
            <w:vAlign w:val="top"/>
          </w:tcPr>
          <w:p>
            <w:pPr>
              <w:jc w:val="center"/>
            </w:pPr>
          </w:p>
        </w:tc>
        <w:tc>
          <w:tcPr>
            <w:tcW w:type="dxa" w:w="602"/>
            <w:tcBorders>
              <w:top w:val="none" w:color="000000" w:sz="4"/>
              <w:left w:val="single" w:color="000000" w:sz="4"/>
              <w:bottom w:val="single" w:color="000000" w:sz="4"/>
              <w:right w:val="single" w:color="000000" w:sz="4"/>
            </w:tcBorders>
            <w:vAlign w:val="top"/>
          </w:tcPr>
          <w:p>
            <w:pPr>
              <w:jc w:val="center"/>
            </w:pPr>
          </w:p>
        </w:tc>
      </w:tr>
      <w:tr>
        <w:tc>
          <w:tcPr>
            <w:tcW w:type="dxa" w:w="589"/>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3999"/>
            <w:tcBorders>
              <w:top w:val="none" w:color="000000" w:sz="4"/>
              <w:left w:val="single" w:color="000000" w:sz="4"/>
              <w:bottom w:val="single" w:color="000000" w:sz="4"/>
              <w:right w:val="single" w:color="000000" w:sz="4"/>
            </w:tcBorders>
            <w:vAlign w:val="top"/>
          </w:tcPr>
          <w:p>
            <w:r>
              <w:rPr>
                <w:sz w:val="21"/>
              </w:rPr>
              <w:t>发现装备配置不齐全的，或装备配置在服务期内有损耗，没有及时补充的</w:t>
            </w:r>
          </w:p>
        </w:tc>
        <w:tc>
          <w:tcPr>
            <w:tcW w:type="dxa" w:w="2020"/>
            <w:tcBorders>
              <w:top w:val="none" w:color="000000" w:sz="4"/>
              <w:left w:val="single" w:color="000000" w:sz="4"/>
              <w:bottom w:val="single" w:color="000000" w:sz="4"/>
              <w:right w:val="single" w:color="000000" w:sz="4"/>
            </w:tcBorders>
            <w:vAlign w:val="top"/>
          </w:tcPr>
          <w:p>
            <w:pPr>
              <w:jc w:val="center"/>
            </w:pPr>
            <w:r>
              <w:rPr>
                <w:color w:val="000000"/>
                <w:sz w:val="21"/>
              </w:rPr>
              <w:t>每发现一次扣</w:t>
            </w:r>
            <w:r>
              <w:rPr>
                <w:color w:val="000000"/>
                <w:sz w:val="21"/>
              </w:rPr>
              <w:t>1分</w:t>
            </w:r>
          </w:p>
        </w:tc>
        <w:tc>
          <w:tcPr>
            <w:tcW w:type="dxa" w:w="1097"/>
            <w:tcBorders>
              <w:top w:val="none" w:color="000000" w:sz="4"/>
              <w:left w:val="single" w:color="000000" w:sz="4"/>
              <w:bottom w:val="single" w:color="000000" w:sz="4"/>
              <w:right w:val="single" w:color="000000" w:sz="4"/>
            </w:tcBorders>
            <w:vAlign w:val="top"/>
          </w:tcPr>
          <w:p>
            <w:pPr>
              <w:jc w:val="center"/>
            </w:pPr>
          </w:p>
        </w:tc>
        <w:tc>
          <w:tcPr>
            <w:tcW w:type="dxa" w:w="602"/>
            <w:tcBorders>
              <w:top w:val="none" w:color="000000" w:sz="4"/>
              <w:left w:val="single" w:color="000000" w:sz="4"/>
              <w:bottom w:val="single" w:color="000000" w:sz="4"/>
              <w:right w:val="single" w:color="000000" w:sz="4"/>
            </w:tcBorders>
            <w:vAlign w:val="top"/>
          </w:tcPr>
          <w:p>
            <w:pPr>
              <w:jc w:val="center"/>
            </w:pPr>
          </w:p>
        </w:tc>
      </w:tr>
      <w:tr>
        <w:tc>
          <w:tcPr>
            <w:tcW w:type="dxa" w:w="589"/>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3999"/>
            <w:tcBorders>
              <w:top w:val="none" w:color="000000" w:sz="4"/>
              <w:left w:val="single" w:color="000000" w:sz="4"/>
              <w:bottom w:val="single" w:color="000000" w:sz="4"/>
              <w:right w:val="single" w:color="000000" w:sz="4"/>
            </w:tcBorders>
            <w:vAlign w:val="top"/>
          </w:tcPr>
          <w:p>
            <w:r>
              <w:rPr>
                <w:sz w:val="21"/>
              </w:rPr>
              <w:t>装备配置（含场地）相关管理台账漏缺、或记录不清晰</w:t>
            </w:r>
          </w:p>
        </w:tc>
        <w:tc>
          <w:tcPr>
            <w:tcW w:type="dxa" w:w="2020"/>
            <w:tcBorders>
              <w:top w:val="none" w:color="000000" w:sz="4"/>
              <w:left w:val="single" w:color="000000" w:sz="4"/>
              <w:bottom w:val="single" w:color="000000" w:sz="4"/>
              <w:right w:val="single" w:color="000000" w:sz="4"/>
            </w:tcBorders>
            <w:vAlign w:val="top"/>
          </w:tcPr>
          <w:p>
            <w:pPr>
              <w:jc w:val="center"/>
            </w:pPr>
            <w:r>
              <w:rPr>
                <w:color w:val="000000"/>
                <w:sz w:val="21"/>
              </w:rPr>
              <w:t>每发现一宗扣</w:t>
            </w:r>
            <w:r>
              <w:rPr>
                <w:color w:val="000000"/>
                <w:sz w:val="21"/>
              </w:rPr>
              <w:t>1 分</w:t>
            </w:r>
          </w:p>
        </w:tc>
        <w:tc>
          <w:tcPr>
            <w:tcW w:type="dxa" w:w="1097"/>
            <w:tcBorders>
              <w:top w:val="none" w:color="000000" w:sz="4"/>
              <w:left w:val="single" w:color="000000" w:sz="4"/>
              <w:bottom w:val="single" w:color="000000" w:sz="4"/>
              <w:right w:val="single" w:color="000000" w:sz="4"/>
            </w:tcBorders>
            <w:vAlign w:val="top"/>
          </w:tcPr>
          <w:p>
            <w:pPr>
              <w:jc w:val="center"/>
            </w:pPr>
          </w:p>
        </w:tc>
        <w:tc>
          <w:tcPr>
            <w:tcW w:type="dxa" w:w="602"/>
            <w:tcBorders>
              <w:top w:val="none" w:color="000000" w:sz="4"/>
              <w:left w:val="single" w:color="000000" w:sz="4"/>
              <w:bottom w:val="single" w:color="000000" w:sz="4"/>
              <w:right w:val="single" w:color="000000" w:sz="4"/>
            </w:tcBorders>
            <w:vAlign w:val="top"/>
          </w:tcPr>
          <w:p>
            <w:pPr>
              <w:jc w:val="center"/>
            </w:pPr>
          </w:p>
        </w:tc>
      </w:tr>
      <w:tr>
        <w:tc>
          <w:tcPr>
            <w:tcW w:type="dxa" w:w="589"/>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3999"/>
            <w:tcBorders>
              <w:top w:val="none" w:color="000000" w:sz="4"/>
              <w:left w:val="single" w:color="000000" w:sz="4"/>
              <w:bottom w:val="single" w:color="000000" w:sz="4"/>
              <w:right w:val="single" w:color="000000" w:sz="4"/>
            </w:tcBorders>
            <w:vAlign w:val="top"/>
          </w:tcPr>
          <w:p>
            <w:r>
              <w:rPr>
                <w:color w:val="000000"/>
                <w:sz w:val="21"/>
              </w:rPr>
              <w:t>紧急事件的处理情况（处理不及时、不妥当）</w:t>
            </w:r>
          </w:p>
        </w:tc>
        <w:tc>
          <w:tcPr>
            <w:tcW w:type="dxa" w:w="2020"/>
            <w:tcBorders>
              <w:top w:val="none" w:color="000000" w:sz="4"/>
              <w:left w:val="single" w:color="000000" w:sz="4"/>
              <w:bottom w:val="single" w:color="000000" w:sz="4"/>
              <w:right w:val="single" w:color="000000" w:sz="4"/>
            </w:tcBorders>
            <w:vAlign w:val="top"/>
          </w:tcPr>
          <w:p>
            <w:pPr>
              <w:jc w:val="center"/>
            </w:pPr>
            <w:r>
              <w:rPr>
                <w:color w:val="000000"/>
                <w:sz w:val="21"/>
              </w:rPr>
              <w:t>每发现一宗扣</w:t>
            </w:r>
            <w:r>
              <w:rPr>
                <w:color w:val="000000"/>
                <w:sz w:val="21"/>
              </w:rPr>
              <w:t>1 分</w:t>
            </w:r>
          </w:p>
        </w:tc>
        <w:tc>
          <w:tcPr>
            <w:tcW w:type="dxa" w:w="1097"/>
            <w:tcBorders>
              <w:top w:val="none" w:color="000000" w:sz="4"/>
              <w:left w:val="single" w:color="000000" w:sz="4"/>
              <w:bottom w:val="single" w:color="000000" w:sz="4"/>
              <w:right w:val="single" w:color="000000" w:sz="4"/>
            </w:tcBorders>
            <w:vAlign w:val="top"/>
          </w:tcPr>
          <w:p>
            <w:pPr>
              <w:jc w:val="center"/>
            </w:pPr>
          </w:p>
        </w:tc>
        <w:tc>
          <w:tcPr>
            <w:tcW w:type="dxa" w:w="602"/>
            <w:tcBorders>
              <w:top w:val="none" w:color="000000" w:sz="4"/>
              <w:left w:val="single" w:color="000000" w:sz="4"/>
              <w:bottom w:val="single" w:color="000000" w:sz="4"/>
              <w:right w:val="single" w:color="000000" w:sz="4"/>
            </w:tcBorders>
            <w:vAlign w:val="top"/>
          </w:tcPr>
          <w:p>
            <w:pPr>
              <w:jc w:val="center"/>
            </w:pPr>
          </w:p>
        </w:tc>
      </w:tr>
      <w:tr>
        <w:tc>
          <w:tcPr>
            <w:tcW w:type="dxa" w:w="589"/>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3999"/>
            <w:tcBorders>
              <w:top w:val="none" w:color="000000" w:sz="4"/>
              <w:left w:val="single" w:color="000000" w:sz="4"/>
              <w:bottom w:val="single" w:color="000000" w:sz="4"/>
              <w:right w:val="single" w:color="000000" w:sz="4"/>
            </w:tcBorders>
            <w:vAlign w:val="top"/>
          </w:tcPr>
          <w:p>
            <w:r>
              <w:rPr>
                <w:color w:val="000000"/>
                <w:sz w:val="21"/>
              </w:rPr>
              <w:t>对有效投诉和需要整改事项不能及时改进</w:t>
            </w:r>
          </w:p>
        </w:tc>
        <w:tc>
          <w:tcPr>
            <w:tcW w:type="dxa" w:w="2020"/>
            <w:tcBorders>
              <w:top w:val="none" w:color="000000" w:sz="4"/>
              <w:left w:val="single" w:color="000000" w:sz="4"/>
              <w:bottom w:val="single" w:color="000000" w:sz="4"/>
              <w:right w:val="single" w:color="000000" w:sz="4"/>
            </w:tcBorders>
            <w:vAlign w:val="top"/>
          </w:tcPr>
          <w:p>
            <w:pPr>
              <w:jc w:val="center"/>
            </w:pPr>
            <w:r>
              <w:rPr>
                <w:color w:val="000000"/>
                <w:sz w:val="21"/>
              </w:rPr>
              <w:t>每发现一宗扣</w:t>
            </w:r>
            <w:r>
              <w:rPr>
                <w:color w:val="000000"/>
                <w:sz w:val="21"/>
              </w:rPr>
              <w:t>1 分</w:t>
            </w:r>
          </w:p>
        </w:tc>
        <w:tc>
          <w:tcPr>
            <w:tcW w:type="dxa" w:w="1097"/>
            <w:tcBorders>
              <w:top w:val="none" w:color="000000" w:sz="4"/>
              <w:left w:val="single" w:color="000000" w:sz="4"/>
              <w:bottom w:val="single" w:color="000000" w:sz="4"/>
              <w:right w:val="single" w:color="000000" w:sz="4"/>
            </w:tcBorders>
            <w:vAlign w:val="top"/>
          </w:tcPr>
          <w:p>
            <w:pPr>
              <w:jc w:val="center"/>
            </w:pPr>
          </w:p>
        </w:tc>
        <w:tc>
          <w:tcPr>
            <w:tcW w:type="dxa" w:w="602"/>
            <w:tcBorders>
              <w:top w:val="none" w:color="000000" w:sz="4"/>
              <w:left w:val="single" w:color="000000" w:sz="4"/>
              <w:bottom w:val="single" w:color="000000" w:sz="4"/>
              <w:right w:val="single" w:color="000000" w:sz="4"/>
            </w:tcBorders>
            <w:vAlign w:val="top"/>
          </w:tcPr>
          <w:p>
            <w:pPr>
              <w:jc w:val="center"/>
            </w:pPr>
          </w:p>
        </w:tc>
      </w:tr>
      <w:tr>
        <w:tc>
          <w:tcPr>
            <w:tcW w:type="dxa" w:w="589"/>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3999"/>
            <w:tcBorders>
              <w:top w:val="none" w:color="000000" w:sz="4"/>
              <w:left w:val="single" w:color="000000" w:sz="4"/>
              <w:bottom w:val="single" w:color="000000" w:sz="4"/>
              <w:right w:val="single" w:color="000000" w:sz="4"/>
            </w:tcBorders>
            <w:vAlign w:val="top"/>
          </w:tcPr>
          <w:p>
            <w:r>
              <w:rPr>
                <w:color w:val="000000"/>
                <w:sz w:val="21"/>
              </w:rPr>
              <w:t>违反</w:t>
            </w:r>
            <w:r>
              <w:rPr>
                <w:sz w:val="21"/>
              </w:rPr>
              <w:t>服务团队的总体要求中</w:t>
            </w:r>
            <w:r>
              <w:rPr>
                <w:sz w:val="21"/>
              </w:rPr>
              <w:t>基本要求</w:t>
            </w:r>
            <w:r>
              <w:rPr>
                <w:sz w:val="21"/>
              </w:rPr>
              <w:t>的</w:t>
            </w:r>
            <w:r>
              <w:rPr>
                <w:color w:val="000000"/>
                <w:sz w:val="21"/>
              </w:rPr>
              <w:t>12个要求的，考核时，成交供应商须配合出示相关证明材料）如：组织架构、日报、相关台账等）</w:t>
            </w:r>
          </w:p>
        </w:tc>
        <w:tc>
          <w:tcPr>
            <w:tcW w:type="dxa" w:w="2020"/>
            <w:tcBorders>
              <w:top w:val="none" w:color="000000" w:sz="4"/>
              <w:left w:val="single" w:color="000000" w:sz="4"/>
              <w:bottom w:val="single" w:color="000000" w:sz="4"/>
              <w:right w:val="single" w:color="000000" w:sz="4"/>
            </w:tcBorders>
            <w:vAlign w:val="top"/>
          </w:tcPr>
          <w:p>
            <w:pPr>
              <w:jc w:val="center"/>
            </w:pPr>
            <w:r>
              <w:rPr>
                <w:color w:val="000000"/>
                <w:sz w:val="21"/>
              </w:rPr>
              <w:t>每发现一项不符合要求扣</w:t>
            </w:r>
            <w:r>
              <w:rPr>
                <w:color w:val="000000"/>
                <w:sz w:val="21"/>
              </w:rPr>
              <w:t>2 分</w:t>
            </w:r>
          </w:p>
        </w:tc>
        <w:tc>
          <w:tcPr>
            <w:tcW w:type="dxa" w:w="1097"/>
            <w:tcBorders>
              <w:top w:val="none" w:color="000000" w:sz="4"/>
              <w:left w:val="single" w:color="000000" w:sz="4"/>
              <w:bottom w:val="single" w:color="000000" w:sz="4"/>
              <w:right w:val="single" w:color="000000" w:sz="4"/>
            </w:tcBorders>
            <w:vAlign w:val="top"/>
          </w:tcPr>
          <w:p>
            <w:pPr>
              <w:jc w:val="center"/>
            </w:pPr>
          </w:p>
        </w:tc>
        <w:tc>
          <w:tcPr>
            <w:tcW w:type="dxa" w:w="602"/>
            <w:tcBorders>
              <w:top w:val="none" w:color="000000" w:sz="4"/>
              <w:left w:val="single" w:color="000000" w:sz="4"/>
              <w:bottom w:val="single" w:color="000000" w:sz="4"/>
              <w:right w:val="single" w:color="000000" w:sz="4"/>
            </w:tcBorders>
            <w:vAlign w:val="top"/>
          </w:tcPr>
          <w:p>
            <w:pPr>
              <w:jc w:val="center"/>
            </w:pPr>
          </w:p>
        </w:tc>
      </w:tr>
      <w:tr>
        <w:tc>
          <w:tcPr>
            <w:tcW w:type="dxa" w:w="8307"/>
            <w:gridSpan w:val="5"/>
            <w:tcBorders>
              <w:top w:val="none" w:color="000000" w:sz="4"/>
              <w:left w:val="single" w:color="000000" w:sz="4"/>
              <w:bottom w:val="single" w:color="000000" w:sz="4"/>
              <w:right w:val="single" w:color="000000" w:sz="4"/>
            </w:tcBorders>
            <w:vAlign w:val="top"/>
          </w:tcPr>
          <w:p>
            <w:r>
              <w:rPr>
                <w:sz w:val="21"/>
              </w:rPr>
              <w:t>路面效果月度考核分数汇总：</w:t>
            </w:r>
          </w:p>
          <w:p>
            <w:pPr>
              <w:jc w:val="left"/>
            </w:pPr>
            <w:r>
              <w:rPr>
                <w:sz w:val="21"/>
              </w:rPr>
              <w:t>20  年  月内务考核分数为    分。</w:t>
            </w:r>
          </w:p>
        </w:tc>
      </w:tr>
      <w:tr>
        <w:tc>
          <w:tcPr>
            <w:tcW w:type="dxa" w:w="8307"/>
            <w:gridSpan w:val="5"/>
            <w:tcBorders>
              <w:top w:val="none" w:color="000000" w:sz="4"/>
              <w:left w:val="single" w:color="000000" w:sz="4"/>
              <w:bottom w:val="single" w:color="000000" w:sz="4"/>
              <w:right w:val="single" w:color="000000" w:sz="4"/>
            </w:tcBorders>
            <w:vAlign w:val="top"/>
          </w:tcPr>
          <w:p>
            <w:pPr>
              <w:jc w:val="left"/>
            </w:pPr>
            <w:r>
              <w:rPr>
                <w:sz w:val="21"/>
              </w:rPr>
              <w:t>考核单位确认（盖章）：</w:t>
            </w:r>
            <w:r>
              <w:rPr>
                <w:sz w:val="21"/>
              </w:rPr>
              <w:t xml:space="preserve">                              </w:t>
            </w:r>
            <w:r>
              <w:rPr>
                <w:sz w:val="21"/>
              </w:rPr>
              <w:t>承包单位确认（盖章）：</w:t>
            </w:r>
          </w:p>
        </w:tc>
      </w:tr>
    </w:tbl>
    <w:p>
      <w:pPr>
        <w:jc w:val="center"/>
      </w:pPr>
    </w:p>
    <w:p/>
    <w:p/>
    <w:p>
      <w:r>
        <w:rPr/>
        <w:t xml:space="preserve"> </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440604-2023-03061</w:t>
      </w:r>
    </w:p>
    <w:p>
      <w:pPr>
        <w:jc w:val="center"/>
      </w:pPr>
      <w:r>
        <w:rPr>
          <w:b/>
          <w:sz w:val="24"/>
        </w:rPr>
        <w:t>采购项目编号：</w:t>
      </w:r>
      <w:r>
        <w:rPr>
          <w:b/>
          <w:sz w:val="24"/>
        </w:rPr>
        <w:t>XY0123066</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佛山市信悦咨询有限公司</w:t>
      </w:r>
    </w:p>
    <w:p>
      <w:pPr>
        <w:ind w:firstLine="480"/>
      </w:pPr>
      <w:r>
        <w:rPr/>
        <w:t>你方组织的</w:t>
      </w:r>
      <w:r>
        <w:rPr>
          <w:u w:val="single"/>
        </w:rPr>
        <w:t>“</w:t>
      </w:r>
      <w:r>
        <w:rPr>
          <w:u w:val="single"/>
        </w:rPr>
        <w:t>南庄镇市容环境管理文明劝导外包服务（2023年）采购项目</w:t>
      </w:r>
      <w:r>
        <w:rPr>
          <w:u w:val="single"/>
        </w:rPr>
        <w:t>”</w:t>
      </w:r>
      <w:r>
        <w:rPr/>
        <w:t>项目的竞争性磋商[采购项目编号为：</w:t>
      </w:r>
      <w:r>
        <w:rPr>
          <w:u w:val="single"/>
        </w:rPr>
        <w:t>XY0123066</w:t>
      </w:r>
      <w:r>
        <w:rPr/>
        <w:t>]，我方愿参与响应。</w:t>
      </w:r>
    </w:p>
    <w:p>
      <w:pPr>
        <w:ind w:firstLine="480"/>
      </w:pPr>
      <w:r>
        <w:rPr/>
        <w:t>我方确认收到贵方提供的</w:t>
      </w:r>
      <w:r>
        <w:rPr>
          <w:u w:val="single"/>
        </w:rPr>
        <w:t>“</w:t>
      </w:r>
      <w:r>
        <w:rPr>
          <w:u w:val="single"/>
        </w:rPr>
        <w:t>南庄镇市容环境管理文明劝导外包服务（2023年）采购项目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南庄镇市容环境管理文明劝导外包服务（2023年）采购项目</w:t>
      </w:r>
      <w:r>
        <w:rPr/>
        <w:t>”项目采购[采购项目编号为</w:t>
      </w:r>
      <w:r>
        <w:rPr/>
        <w:t>XY0123066</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佛山市禅城区南庄镇综合行政执法办公室（佛山市禅城区南庄镇综合行政执法队）</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佛山市信悦咨询有限公司</w:t>
      </w:r>
    </w:p>
    <w:p>
      <w:pPr>
        <w:ind w:firstLine="480"/>
      </w:pPr>
      <w:r>
        <w:rPr/>
        <w:t>我单位参加贵公司组织的</w:t>
      </w:r>
      <w:r>
        <w:rPr/>
        <w:t>南庄镇市容环境管理文明劝导外包服务（2023年）采购项目</w:t>
      </w:r>
      <w:r>
        <w:rPr/>
        <w:t>（采购项目编号：</w:t>
      </w:r>
      <w:r>
        <w:rPr/>
        <w:t>XY0123066</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南庄镇市容环境管理文明劝导外包服务（2023年）采购项目</w:t>
      </w:r>
      <w:r>
        <w:rPr/>
        <w:t>”项目（采购项目编号：</w:t>
      </w:r>
      <w:r>
        <w:rPr/>
        <w:t>XY0123066</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