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440001-2023-21564</w:t>
      </w:r>
    </w:p>
    <w:p>
      <w:pPr>
        <w:jc w:val="center"/>
      </w:pPr>
      <w:r>
        <w:rPr>
          <w:b/>
          <w:sz w:val="24"/>
        </w:rPr>
        <w:t>采购项目编号：</w:t>
      </w:r>
      <w:r>
        <w:rPr>
          <w:b/>
          <w:sz w:val="24"/>
        </w:rPr>
        <w:t>XY0123013</w:t>
      </w:r>
    </w:p>
    <w:p>
      <w:pPr>
        <w:jc w:val="center"/>
      </w:pPr>
      <w:r>
        <w:rPr>
          <w:b/>
          <w:sz w:val="24"/>
        </w:rPr>
        <w:t>项目名称：</w:t>
      </w:r>
      <w:r>
        <w:rPr>
          <w:b/>
          <w:sz w:val="24"/>
        </w:rPr>
        <w:t>佛山市质量计量监督检测中心2023年度质量检测能力提升设备采购项目（二）(二次)</w:t>
      </w:r>
    </w:p>
    <w:p>
      <w:pPr>
        <w:jc w:val="center"/>
      </w:pPr>
      <w:r>
        <w:rPr>
          <w:b/>
          <w:sz w:val="24"/>
        </w:rPr>
        <w:t>采购人：</w:t>
      </w:r>
      <w:r>
        <w:rPr>
          <w:b/>
          <w:sz w:val="24"/>
        </w:rPr>
        <w:t>佛山市质量计量监督检测中心</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佛山市质量计量监督检测中心</w:t>
      </w:r>
      <w:r>
        <w:rPr/>
        <w:t>的委托，采用</w:t>
      </w:r>
      <w:r>
        <w:rPr/>
        <w:t>公开招标</w:t>
      </w:r>
      <w:r>
        <w:rPr/>
        <w:t>方式组织采购</w:t>
      </w:r>
      <w:r>
        <w:rPr/>
        <w:t>佛山市质量计量监督检测中心2023年度质量检测能力提升设备采购项目（二）(二次)</w:t>
      </w:r>
      <w:r>
        <w:rPr/>
        <w:t>。欢迎符合资格条件的国内供应商参加投标。</w:t>
      </w:r>
    </w:p>
    <w:p>
      <w:r>
        <w:rPr>
          <w:b/>
          <w:sz w:val="28"/>
        </w:rPr>
        <w:t>一.项目概述</w:t>
      </w:r>
    </w:p>
    <w:p>
      <w:r>
        <w:rPr>
          <w:b/>
          <w:sz w:val="24"/>
        </w:rPr>
        <w:t>1.名称与编号</w:t>
      </w:r>
    </w:p>
    <w:p>
      <w:pPr>
        <w:ind w:firstLine="480"/>
      </w:pPr>
      <w:r>
        <w:rPr/>
        <w:t>项目名称：</w:t>
      </w:r>
      <w:r>
        <w:rPr/>
        <w:t>佛山市质量计量监督检测中心2023年度质量检测能力提升设备采购项目（二）(二次)</w:t>
      </w:r>
    </w:p>
    <w:p>
      <w:pPr>
        <w:ind w:firstLine="480"/>
      </w:pPr>
      <w:r>
        <w:rPr/>
        <w:t>采购计划编号：</w:t>
      </w:r>
      <w:r>
        <w:rPr/>
        <w:t>440001-2023-21564</w:t>
      </w:r>
    </w:p>
    <w:p>
      <w:pPr>
        <w:ind w:firstLine="480"/>
      </w:pPr>
      <w:r>
        <w:rPr/>
        <w:t>采购项目编号：</w:t>
      </w:r>
      <w:r>
        <w:rPr/>
        <w:t>XY0123013</w:t>
      </w:r>
    </w:p>
    <w:p>
      <w:pPr>
        <w:ind w:firstLine="480"/>
      </w:pPr>
      <w:r>
        <w:rPr/>
        <w:t>采购方式：</w:t>
      </w:r>
      <w:r>
        <w:rPr/>
        <w:t>公开招标</w:t>
      </w:r>
    </w:p>
    <w:p>
      <w:pPr>
        <w:ind w:firstLine="480"/>
      </w:pPr>
      <w:r>
        <w:rPr/>
        <w:t>预算金额：</w:t>
      </w:r>
      <w:r>
        <w:rPr/>
        <w:t>1,048,000.00</w:t>
      </w:r>
      <w:r>
        <w:rPr/>
        <w:t>元</w:t>
      </w:r>
    </w:p>
    <w:p>
      <w:r>
        <w:rPr>
          <w:b/>
          <w:sz w:val="24"/>
        </w:rPr>
        <w:t>2.项目内容及需求情况（采购项目技术规格、参数及要求）</w:t>
      </w:r>
    </w:p>
    <w:p>
      <w:pPr>
        <w:ind w:firstLine="480"/>
      </w:pPr>
    </w:p>
    <w:p/>
    <w:p>
      <w:r>
        <w:rPr/>
        <w:t>采购包1(传导抗扰度测试仪):</w:t>
      </w:r>
    </w:p>
    <w:p>
      <w:r>
        <w:rPr/>
        <w:t>采购包预算金额：500,000.00元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其他试验仪器及装置</w:t>
            </w:r>
          </w:p>
        </w:tc>
        <w:tc>
          <w:tcPr>
            <w:tcW w:type="dxa" w:w="2136"/>
          </w:tcPr>
          <w:p>
            <w:r>
              <w:rPr/>
              <w:t>传导抗扰度测试仪</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采购包2(电离辐射检测仪、便携音响设备声级测试系统):</w:t>
      </w:r>
    </w:p>
    <w:p>
      <w:r>
        <w:rPr/>
        <w:t>采购包预算金额：548,000.00元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其他试验仪器及装置</w:t>
            </w:r>
          </w:p>
        </w:tc>
        <w:tc>
          <w:tcPr>
            <w:tcW w:type="dxa" w:w="2136"/>
          </w:tcPr>
          <w:p>
            <w:r>
              <w:rPr/>
              <w:t>电离辐射检测仪</w:t>
            </w:r>
          </w:p>
        </w:tc>
        <w:tc>
          <w:tcPr>
            <w:tcW w:type="dxa" w:w="1187"/>
          </w:tcPr>
          <w:p>
            <w:r>
              <w:rPr/>
              <w:t>1.00(套)</w:t>
            </w:r>
          </w:p>
        </w:tc>
        <w:tc>
          <w:tcPr>
            <w:tcW w:type="dxa" w:w="1187"/>
          </w:tcPr>
          <w:p>
            <w:r>
              <w:rPr/>
              <w:t>详见第二章</w:t>
            </w:r>
          </w:p>
        </w:tc>
        <w:tc>
          <w:tcPr>
            <w:tcW w:type="dxa" w:w="1187"/>
          </w:tcPr>
          <w:p>
            <w:r>
              <w:rPr/>
              <w:t>是</w:t>
            </w:r>
          </w:p>
        </w:tc>
      </w:tr>
      <w:tr>
        <w:tc>
          <w:tcPr>
            <w:tcW w:type="dxa" w:w="1187"/>
          </w:tcPr>
          <w:p>
            <w:r>
              <w:rPr/>
              <w:t>2-2</w:t>
            </w:r>
          </w:p>
        </w:tc>
        <w:tc>
          <w:tcPr>
            <w:tcW w:type="dxa" w:w="1424"/>
          </w:tcPr>
          <w:p>
            <w:r>
              <w:rPr/>
              <w:t>电话、电声测试仪器</w:t>
            </w:r>
          </w:p>
        </w:tc>
        <w:tc>
          <w:tcPr>
            <w:tcW w:type="dxa" w:w="2136"/>
          </w:tcPr>
          <w:p>
            <w:r>
              <w:rPr/>
              <w:t>便携音响设备声级测试系统</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p/>
    <w:p>
      <w:r>
        <w:rPr/>
        <w:t>2）有依法缴纳税收和社会保障资金的良好记录：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p/>
    <w:p>
      <w:r>
        <w:rPr/>
        <w:t>3）具有良好的商业信誉和健全的财务会计制度：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p/>
    <w:p>
      <w:r>
        <w:rPr/>
        <w:t>4）履行合同所必需的设备和专业技术能力：提供设备及专业技术能力情况的证明材料或承诺函（格式自拟）。</w:t>
      </w:r>
    </w:p>
    <w:p/>
    <w:p>
      <w:r>
        <w:rPr/>
        <w:t>5）参加采购活动前3年内，在经营活动中没有重大违法记录：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采购包1（传导抗扰度测试仪）：</w:t>
      </w:r>
      <w:r>
        <w:rPr/>
        <w:t>采购包不属于专门面向中小企业采购项目。</w:t>
      </w:r>
    </w:p>
    <w:p>
      <w:pPr>
        <w:jc w:val="left"/>
      </w:pPr>
    </w:p>
    <w:p>
      <w:r>
        <w:rPr/>
        <w:t>采购包2（电离辐射检测仪、便携音响设备声级测试系统）：</w:t>
      </w:r>
      <w:r>
        <w:rPr/>
        <w:t>采购包不属于专门面向中小企业采购项目。</w:t>
      </w:r>
    </w:p>
    <w:p/>
    <w:p>
      <w:r>
        <w:rPr>
          <w:b/>
          <w:sz w:val="24"/>
        </w:rPr>
        <w:t>3.本项目特定的资格要求：</w:t>
      </w:r>
    </w:p>
    <w:p>
      <w:pPr>
        <w:ind w:firstLine="480"/>
      </w:pPr>
    </w:p>
    <w:p/>
    <w:p>
      <w:r>
        <w:rPr/>
        <w:t>采购包1（传导抗扰度测试仪）：</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采购包2（电离辐射检测仪、便携音响设备声级测试系统）：</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采购代理机构网站（www.fssxyzx.com）</w:t>
      </w:r>
    </w:p>
    <w:p>
      <w:r>
        <w:rPr>
          <w:b/>
          <w:sz w:val="28"/>
        </w:rPr>
        <w:t>六.本项目联系方式：</w:t>
      </w:r>
    </w:p>
    <w:p>
      <w:r>
        <w:rPr>
          <w:b/>
          <w:sz w:val="24"/>
        </w:rPr>
        <w:t>1.采购人信息</w:t>
      </w:r>
    </w:p>
    <w:p>
      <w:pPr>
        <w:ind w:firstLine="480"/>
      </w:pPr>
      <w:r>
        <w:rPr/>
        <w:t>名称：</w:t>
      </w:r>
      <w:r>
        <w:rPr/>
        <w:t>佛山市质量计量监督检测中心</w:t>
      </w:r>
    </w:p>
    <w:p>
      <w:pPr>
        <w:ind w:firstLine="480"/>
      </w:pPr>
      <w:r>
        <w:rPr/>
        <w:t>地址：</w:t>
      </w:r>
      <w:r>
        <w:rPr/>
        <w:t>佛山市南海区狮山镇科技西路2号</w:t>
      </w:r>
    </w:p>
    <w:p>
      <w:pPr>
        <w:ind w:firstLine="480"/>
      </w:pPr>
      <w:r>
        <w:rPr/>
        <w:t>联系方式：</w:t>
      </w:r>
      <w:r>
        <w:rPr/>
        <w:t>0757-88780020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廖永宜</w:t>
      </w:r>
    </w:p>
    <w:p>
      <w:pPr>
        <w:ind w:firstLine="480"/>
      </w:pPr>
      <w:r>
        <w:rPr/>
        <w:t>电话：</w:t>
      </w:r>
      <w:r>
        <w:rPr/>
        <w:t>0757-83279001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center"/>
      </w:pPr>
      <w:r>
        <w:rPr>
          <w:b/>
          <w:sz w:val="21"/>
        </w:rPr>
        <w:t>《产品最高限价、交货期及质保期明细》</w:t>
      </w:r>
    </w:p>
    <w:tbl>
      <w:tblPr>
        <w:tblW w:w="0" w:type="auto"/>
        <w:tblBorders>
          <w:top w:val="none" w:color="000000" w:sz="4"/>
          <w:left w:val="none" w:color="000000" w:sz="4"/>
          <w:bottom w:val="none" w:color="000000" w:sz="4"/>
          <w:right w:val="none" w:color="000000" w:sz="4"/>
          <w:insideH w:val="none"/>
          <w:insideV w:val="none"/>
        </w:tblBorders>
      </w:tblPr>
      <w:tblGrid>
        <w:gridCol w:w="422"/>
        <w:gridCol w:w="2050"/>
        <w:gridCol w:w="1327"/>
        <w:gridCol w:w="1327"/>
        <w:gridCol w:w="904"/>
        <w:gridCol w:w="1432"/>
        <w:gridCol w:w="844"/>
      </w:tblGrid>
      <w:tr>
        <w:tc>
          <w:tcPr>
            <w:tcW w:type="dxa" w:w="42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050"/>
            <w:tcBorders>
              <w:top w:val="single" w:color="000000" w:sz="4"/>
              <w:left w:val="none" w:color="000000" w:sz="4"/>
              <w:bottom w:val="single" w:color="000000" w:sz="4"/>
              <w:right w:val="single" w:color="000000" w:sz="4"/>
            </w:tcBorders>
            <w:vAlign w:val="top"/>
          </w:tcPr>
          <w:p>
            <w:pPr>
              <w:jc w:val="center"/>
            </w:pPr>
            <w:r>
              <w:rPr>
                <w:sz w:val="21"/>
              </w:rPr>
              <w:t>设备名称</w:t>
            </w:r>
          </w:p>
        </w:tc>
        <w:tc>
          <w:tcPr>
            <w:tcW w:type="dxa" w:w="1327"/>
            <w:tcBorders>
              <w:top w:val="single" w:color="000000" w:sz="4"/>
              <w:left w:val="none" w:color="000000" w:sz="4"/>
              <w:bottom w:val="single" w:color="000000" w:sz="4"/>
              <w:right w:val="single" w:color="000000" w:sz="4"/>
            </w:tcBorders>
            <w:vAlign w:val="top"/>
          </w:tcPr>
          <w:p>
            <w:pPr>
              <w:jc w:val="center"/>
            </w:pPr>
            <w:r>
              <w:rPr>
                <w:sz w:val="21"/>
              </w:rPr>
              <w:t>★</w:t>
            </w:r>
            <w:r>
              <w:rPr>
                <w:sz w:val="21"/>
              </w:rPr>
              <w:t>最高限价（人民币元）</w:t>
            </w:r>
          </w:p>
        </w:tc>
        <w:tc>
          <w:tcPr>
            <w:tcW w:type="dxa" w:w="1327"/>
            <w:tcBorders>
              <w:top w:val="single" w:color="000000" w:sz="4"/>
              <w:left w:val="none" w:color="000000" w:sz="4"/>
              <w:bottom w:val="single" w:color="000000" w:sz="4"/>
              <w:right w:val="single" w:color="000000" w:sz="4"/>
            </w:tcBorders>
            <w:vAlign w:val="top"/>
          </w:tcPr>
          <w:p>
            <w:pPr>
              <w:jc w:val="center"/>
            </w:pPr>
            <w:r>
              <w:rPr>
                <w:sz w:val="21"/>
              </w:rPr>
              <w:t>★</w:t>
            </w:r>
            <w:r>
              <w:rPr>
                <w:sz w:val="21"/>
              </w:rPr>
              <w:t>最高单价限价（人民币元）</w:t>
            </w:r>
          </w:p>
        </w:tc>
        <w:tc>
          <w:tcPr>
            <w:tcW w:type="dxa" w:w="904"/>
            <w:tcBorders>
              <w:top w:val="single" w:color="000000" w:sz="4"/>
              <w:left w:val="none" w:color="000000" w:sz="4"/>
              <w:bottom w:val="single" w:color="000000" w:sz="4"/>
              <w:right w:val="single" w:color="000000" w:sz="4"/>
            </w:tcBorders>
            <w:vAlign w:val="top"/>
          </w:tcPr>
          <w:p>
            <w:pPr>
              <w:jc w:val="center"/>
            </w:pPr>
            <w:r>
              <w:rPr>
                <w:sz w:val="21"/>
              </w:rPr>
              <w:t>数量</w:t>
            </w:r>
          </w:p>
          <w:p>
            <w:pPr>
              <w:jc w:val="center"/>
            </w:pPr>
            <w:r>
              <w:rPr>
                <w:sz w:val="21"/>
              </w:rPr>
              <w:t>（单位）</w:t>
            </w:r>
          </w:p>
        </w:tc>
        <w:tc>
          <w:tcPr>
            <w:tcW w:type="dxa" w:w="1432"/>
            <w:tcBorders>
              <w:top w:val="single" w:color="000000" w:sz="4"/>
              <w:left w:val="none" w:color="000000" w:sz="4"/>
              <w:bottom w:val="single" w:color="000000" w:sz="4"/>
              <w:right w:val="single" w:color="000000" w:sz="4"/>
            </w:tcBorders>
            <w:vAlign w:val="top"/>
          </w:tcPr>
          <w:p>
            <w:pPr>
              <w:jc w:val="center"/>
            </w:pPr>
            <w:r>
              <w:rPr>
                <w:sz w:val="21"/>
              </w:rPr>
              <w:t>交货期（安装调试完成并经验收合格）</w:t>
            </w:r>
          </w:p>
        </w:tc>
        <w:tc>
          <w:tcPr>
            <w:tcW w:type="dxa" w:w="844"/>
            <w:tcBorders>
              <w:top w:val="single" w:color="000000" w:sz="4"/>
              <w:left w:val="none" w:color="000000" w:sz="4"/>
              <w:bottom w:val="single" w:color="000000" w:sz="4"/>
              <w:right w:val="single" w:color="000000" w:sz="4"/>
            </w:tcBorders>
            <w:vAlign w:val="top"/>
          </w:tcPr>
          <w:p>
            <w:pPr>
              <w:jc w:val="center"/>
            </w:pPr>
            <w:r>
              <w:rPr>
                <w:sz w:val="21"/>
              </w:rPr>
              <w:t>质保期</w:t>
            </w:r>
          </w:p>
        </w:tc>
      </w:tr>
      <w:tr>
        <w:tc>
          <w:tcPr>
            <w:tcW w:type="dxa" w:w="8306"/>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1</w:t>
            </w:r>
          </w:p>
        </w:tc>
      </w:tr>
      <w:tr>
        <w:tc>
          <w:tcPr>
            <w:tcW w:type="dxa" w:w="422"/>
            <w:tcBorders>
              <w:top w:val="none" w:color="000000" w:sz="4"/>
              <w:left w:val="single" w:color="000000" w:sz="4"/>
              <w:bottom w:val="single" w:color="000000" w:sz="4"/>
              <w:right w:val="single" w:color="000000" w:sz="4"/>
            </w:tcBorders>
            <w:vAlign w:val="top"/>
          </w:tcPr>
          <w:p>
            <w:pPr>
              <w:jc w:val="both"/>
            </w:pPr>
            <w:r>
              <w:rPr>
                <w:sz w:val="21"/>
              </w:rPr>
              <w:t>1</w:t>
            </w:r>
          </w:p>
        </w:tc>
        <w:tc>
          <w:tcPr>
            <w:tcW w:type="dxa" w:w="2050"/>
            <w:tcBorders>
              <w:top w:val="single" w:color="000000" w:sz="4"/>
              <w:left w:val="none" w:color="000000" w:sz="4"/>
              <w:bottom w:val="single" w:color="000000" w:sz="4"/>
              <w:right w:val="single" w:color="000000" w:sz="4"/>
            </w:tcBorders>
            <w:vAlign w:val="top"/>
          </w:tcPr>
          <w:p>
            <w:pPr>
              <w:jc w:val="both"/>
            </w:pPr>
            <w:r>
              <w:rPr>
                <w:sz w:val="21"/>
              </w:rPr>
              <w:t>传导抗扰度测试仪</w:t>
            </w:r>
          </w:p>
        </w:tc>
        <w:tc>
          <w:tcPr>
            <w:tcW w:type="dxa" w:w="1327"/>
            <w:tcBorders>
              <w:top w:val="single" w:color="000000" w:sz="4"/>
              <w:left w:val="none" w:color="000000" w:sz="4"/>
              <w:bottom w:val="single" w:color="000000" w:sz="4"/>
              <w:right w:val="single" w:color="000000" w:sz="4"/>
            </w:tcBorders>
            <w:vAlign w:val="top"/>
          </w:tcPr>
          <w:p>
            <w:pPr>
              <w:jc w:val="both"/>
            </w:pPr>
            <w:r>
              <w:rPr>
                <w:sz w:val="21"/>
              </w:rPr>
              <w:t>500,000.00</w:t>
            </w:r>
          </w:p>
        </w:tc>
        <w:tc>
          <w:tcPr>
            <w:tcW w:type="dxa" w:w="1327"/>
            <w:tcBorders>
              <w:top w:val="single" w:color="000000" w:sz="4"/>
              <w:left w:val="none" w:color="000000" w:sz="4"/>
              <w:bottom w:val="single" w:color="000000" w:sz="4"/>
              <w:right w:val="single" w:color="000000" w:sz="4"/>
            </w:tcBorders>
            <w:vAlign w:val="top"/>
          </w:tcPr>
          <w:p>
            <w:pPr>
              <w:jc w:val="both"/>
            </w:pPr>
            <w:r>
              <w:rPr>
                <w:sz w:val="21"/>
              </w:rPr>
              <w:t>500,000.00</w:t>
            </w:r>
          </w:p>
        </w:tc>
        <w:tc>
          <w:tcPr>
            <w:tcW w:type="dxa" w:w="904"/>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2"/>
            <w:tcBorders>
              <w:top w:val="single" w:color="000000" w:sz="4"/>
              <w:left w:val="none" w:color="000000" w:sz="4"/>
              <w:bottom w:val="single" w:color="000000" w:sz="4"/>
              <w:right w:val="single" w:color="000000" w:sz="4"/>
            </w:tcBorders>
            <w:vAlign w:val="top"/>
          </w:tcPr>
          <w:p>
            <w:pPr>
              <w:jc w:val="center"/>
            </w:pPr>
            <w:r>
              <w:rPr>
                <w:sz w:val="21"/>
              </w:rPr>
              <w:t>180</w:t>
            </w:r>
            <w:r>
              <w:rPr>
                <w:sz w:val="21"/>
              </w:rPr>
              <w:t>天</w:t>
            </w:r>
          </w:p>
        </w:tc>
        <w:tc>
          <w:tcPr>
            <w:tcW w:type="dxa" w:w="844"/>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72"/>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34"/>
            <w:gridSpan w:val="5"/>
            <w:tcBorders>
              <w:top w:val="none" w:color="000000" w:sz="4"/>
              <w:left w:val="none" w:color="000000" w:sz="4"/>
              <w:bottom w:val="single" w:color="000000" w:sz="4"/>
              <w:right w:val="single" w:color="000000" w:sz="4"/>
            </w:tcBorders>
            <w:vAlign w:val="top"/>
          </w:tcPr>
          <w:p>
            <w:pPr>
              <w:jc w:val="both"/>
            </w:pPr>
            <w:r>
              <w:rPr>
                <w:sz w:val="21"/>
              </w:rPr>
              <w:t>500,000.00</w:t>
            </w:r>
          </w:p>
        </w:tc>
      </w:tr>
      <w:tr>
        <w:tc>
          <w:tcPr>
            <w:tcW w:type="dxa" w:w="8306"/>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2</w:t>
            </w:r>
          </w:p>
        </w:tc>
      </w:tr>
      <w:tr>
        <w:tc>
          <w:tcPr>
            <w:tcW w:type="dxa" w:w="422"/>
            <w:tcBorders>
              <w:top w:val="none" w:color="000000" w:sz="4"/>
              <w:left w:val="single" w:color="000000" w:sz="4"/>
              <w:bottom w:val="single" w:color="000000" w:sz="4"/>
              <w:right w:val="single" w:color="000000" w:sz="4"/>
            </w:tcBorders>
            <w:vAlign w:val="top"/>
          </w:tcPr>
          <w:p>
            <w:pPr>
              <w:jc w:val="both"/>
            </w:pPr>
            <w:r>
              <w:rPr>
                <w:sz w:val="21"/>
              </w:rPr>
              <w:t>1</w:t>
            </w:r>
          </w:p>
        </w:tc>
        <w:tc>
          <w:tcPr>
            <w:tcW w:type="dxa" w:w="2050"/>
            <w:tcBorders>
              <w:top w:val="single" w:color="000000" w:sz="4"/>
              <w:left w:val="none" w:color="000000" w:sz="4"/>
              <w:bottom w:val="single" w:color="000000" w:sz="4"/>
              <w:right w:val="single" w:color="000000" w:sz="4"/>
            </w:tcBorders>
            <w:vAlign w:val="top"/>
          </w:tcPr>
          <w:p>
            <w:pPr>
              <w:jc w:val="both"/>
            </w:pPr>
            <w:r>
              <w:rPr>
                <w:sz w:val="21"/>
              </w:rPr>
              <w:t>电离辐射检测仪</w:t>
            </w:r>
          </w:p>
        </w:tc>
        <w:tc>
          <w:tcPr>
            <w:tcW w:type="dxa" w:w="1327"/>
            <w:tcBorders>
              <w:top w:val="single" w:color="000000" w:sz="4"/>
              <w:left w:val="none" w:color="000000" w:sz="4"/>
              <w:bottom w:val="single" w:color="000000" w:sz="4"/>
              <w:right w:val="single" w:color="000000" w:sz="4"/>
            </w:tcBorders>
            <w:vAlign w:val="top"/>
          </w:tcPr>
          <w:p>
            <w:pPr>
              <w:jc w:val="left"/>
            </w:pPr>
            <w:r>
              <w:rPr>
                <w:sz w:val="21"/>
              </w:rPr>
              <w:t>45,000.00</w:t>
            </w:r>
          </w:p>
        </w:tc>
        <w:tc>
          <w:tcPr>
            <w:tcW w:type="dxa" w:w="1327"/>
            <w:tcBorders>
              <w:top w:val="single" w:color="000000" w:sz="4"/>
              <w:left w:val="none" w:color="000000" w:sz="4"/>
              <w:bottom w:val="single" w:color="000000" w:sz="4"/>
              <w:right w:val="single" w:color="000000" w:sz="4"/>
            </w:tcBorders>
            <w:vAlign w:val="top"/>
          </w:tcPr>
          <w:p>
            <w:pPr>
              <w:jc w:val="left"/>
            </w:pPr>
            <w:r>
              <w:rPr>
                <w:sz w:val="21"/>
              </w:rPr>
              <w:t>45,000.00</w:t>
            </w:r>
          </w:p>
        </w:tc>
        <w:tc>
          <w:tcPr>
            <w:tcW w:type="dxa" w:w="904"/>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2"/>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4"/>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22"/>
            <w:tcBorders>
              <w:top w:val="none" w:color="000000" w:sz="4"/>
              <w:left w:val="single" w:color="000000" w:sz="4"/>
              <w:bottom w:val="single" w:color="000000" w:sz="4"/>
              <w:right w:val="single" w:color="000000" w:sz="4"/>
            </w:tcBorders>
            <w:vAlign w:val="top"/>
          </w:tcPr>
          <w:p>
            <w:pPr>
              <w:jc w:val="both"/>
            </w:pPr>
            <w:r>
              <w:rPr>
                <w:sz w:val="21"/>
              </w:rPr>
              <w:t>2</w:t>
            </w:r>
          </w:p>
        </w:tc>
        <w:tc>
          <w:tcPr>
            <w:tcW w:type="dxa" w:w="2050"/>
            <w:tcBorders>
              <w:top w:val="none" w:color="000000" w:sz="4"/>
              <w:left w:val="none" w:color="000000" w:sz="4"/>
              <w:bottom w:val="single" w:color="000000" w:sz="4"/>
              <w:right w:val="single" w:color="000000" w:sz="4"/>
            </w:tcBorders>
            <w:vAlign w:val="top"/>
          </w:tcPr>
          <w:p>
            <w:pPr>
              <w:jc w:val="both"/>
            </w:pPr>
            <w:r>
              <w:rPr>
                <w:sz w:val="21"/>
              </w:rPr>
              <w:t>便携音响设备声级测试系统</w:t>
            </w:r>
          </w:p>
        </w:tc>
        <w:tc>
          <w:tcPr>
            <w:tcW w:type="dxa" w:w="1327"/>
            <w:tcBorders>
              <w:top w:val="none" w:color="000000" w:sz="4"/>
              <w:left w:val="none" w:color="000000" w:sz="4"/>
              <w:bottom w:val="single" w:color="000000" w:sz="4"/>
              <w:right w:val="single" w:color="000000" w:sz="4"/>
            </w:tcBorders>
            <w:vAlign w:val="top"/>
          </w:tcPr>
          <w:p>
            <w:pPr>
              <w:jc w:val="left"/>
            </w:pPr>
            <w:r>
              <w:rPr>
                <w:sz w:val="21"/>
              </w:rPr>
              <w:t>495,000.00</w:t>
            </w:r>
          </w:p>
        </w:tc>
        <w:tc>
          <w:tcPr>
            <w:tcW w:type="dxa" w:w="1327"/>
            <w:tcBorders>
              <w:top w:val="none" w:color="000000" w:sz="4"/>
              <w:left w:val="none" w:color="000000" w:sz="4"/>
              <w:bottom w:val="single" w:color="000000" w:sz="4"/>
              <w:right w:val="single" w:color="000000" w:sz="4"/>
            </w:tcBorders>
            <w:vAlign w:val="top"/>
          </w:tcPr>
          <w:p>
            <w:pPr>
              <w:jc w:val="left"/>
            </w:pPr>
            <w:r>
              <w:rPr>
                <w:sz w:val="21"/>
              </w:rPr>
              <w:t>495,000.00</w:t>
            </w:r>
          </w:p>
        </w:tc>
        <w:tc>
          <w:tcPr>
            <w:tcW w:type="dxa" w:w="904"/>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2"/>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4"/>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72"/>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34"/>
            <w:gridSpan w:val="5"/>
            <w:tcBorders>
              <w:top w:val="none" w:color="000000" w:sz="4"/>
              <w:left w:val="none" w:color="000000" w:sz="4"/>
              <w:bottom w:val="single" w:color="000000" w:sz="4"/>
              <w:right w:val="single" w:color="000000" w:sz="4"/>
            </w:tcBorders>
            <w:vAlign w:val="top"/>
          </w:tcPr>
          <w:p>
            <w:pPr>
              <w:jc w:val="both"/>
            </w:pPr>
            <w:r>
              <w:rPr>
                <w:sz w:val="21"/>
              </w:rPr>
              <w:t>540,000.00</w:t>
            </w:r>
          </w:p>
        </w:tc>
      </w:tr>
    </w:tbl>
    <w:p>
      <w:pPr>
        <w:jc w:val="both"/>
      </w:pPr>
      <w:r>
        <w:rPr>
          <w:sz w:val="21"/>
        </w:rPr>
        <w:t>★</w:t>
      </w:r>
      <w:r>
        <w:rPr>
          <w:sz w:val="21"/>
        </w:rPr>
        <w:t>注：</w:t>
      </w:r>
    </w:p>
    <w:p>
      <w:pPr>
        <w:jc w:val="both"/>
      </w:pPr>
      <w:r>
        <w:rPr>
          <w:b/>
          <w:sz w:val="21"/>
        </w:rPr>
        <w:t>1.</w:t>
      </w:r>
      <w:r>
        <w:rPr>
          <w:b/>
          <w:sz w:val="21"/>
        </w:rPr>
        <w:t>因电子标系统不能调整招标文件内其他相应位置的最高限价与最高单价限价，如招标文件内其余处与以上表格内容不一致的，本项目采购货物的最高限价以此表格为准，超出此明细表最高限价的视为无效报价！！！</w:t>
      </w:r>
    </w:p>
    <w:p>
      <w:pPr>
        <w:jc w:val="both"/>
      </w:pPr>
      <w:r>
        <w:rPr>
          <w:sz w:val="21"/>
        </w:rPr>
        <w:t>2.</w:t>
      </w:r>
      <w:r>
        <w:rPr>
          <w:sz w:val="21"/>
        </w:rPr>
        <w:t>招标文件内所有涉及的规定、规范、标准，如有最新，以最新为准。</w:t>
      </w:r>
    </w:p>
    <w:p>
      <w:pPr>
        <w:jc w:val="both"/>
      </w:pPr>
      <w:r>
        <w:rPr>
          <w:sz w:val="21"/>
        </w:rPr>
        <w:t>3.</w:t>
      </w:r>
      <w:r>
        <w:rPr>
          <w:sz w:val="21"/>
        </w:rPr>
        <w:t>货物所有功能必须能在同一时间下满足。</w:t>
      </w:r>
    </w:p>
    <w:p>
      <w:pPr>
        <w:jc w:val="both"/>
      </w:pPr>
      <w:r>
        <w:rPr>
          <w:sz w:val="21"/>
        </w:rPr>
        <w:t>4.</w:t>
      </w:r>
      <w:r>
        <w:rPr>
          <w:sz w:val="21"/>
        </w:rPr>
        <w:t>政策要求：本项目采购货物如有列为强制节能产品，投标人对上述产品在投标时须附上该产品处于有效期内的节能产品认证证书等相关证明材料扫描件并加盖公章。</w:t>
      </w:r>
    </w:p>
    <w:p/>
    <w:p>
      <w:pPr>
        <w:ind w:firstLine="480"/>
      </w:pPr>
    </w:p>
    <w:p/>
    <w:p>
      <w:r>
        <w:rPr/>
        <w:t>采购包1（传导抗扰度测试仪）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传导抗扰度测试仪</w:t>
            </w:r>
          </w:p>
        </w:tc>
        <w:tc>
          <w:tcPr>
            <w:tcW w:type="dxa" w:w="831"/>
          </w:tcPr>
          <w:p>
            <w:pPr>
              <w:jc w:val="left"/>
            </w:pPr>
            <w:r>
              <w:rPr/>
              <w:t>套</w:t>
            </w:r>
          </w:p>
        </w:tc>
        <w:tc>
          <w:tcPr>
            <w:tcW w:type="dxa" w:w="831"/>
          </w:tcPr>
          <w:p>
            <w:pPr>
              <w:jc w:val="right"/>
            </w:pPr>
            <w:r>
              <w:rPr/>
              <w:t>1.00</w:t>
            </w:r>
          </w:p>
        </w:tc>
        <w:tc>
          <w:tcPr>
            <w:tcW w:type="dxa" w:w="831"/>
          </w:tcPr>
          <w:p>
            <w:pPr>
              <w:jc w:val="right"/>
            </w:pPr>
            <w:r>
              <w:rPr/>
              <w:t>500,000.00</w:t>
            </w:r>
          </w:p>
        </w:tc>
        <w:tc>
          <w:tcPr>
            <w:tcW w:type="dxa" w:w="831"/>
          </w:tcPr>
          <w:p>
            <w:pPr>
              <w:jc w:val="right"/>
            </w:pPr>
            <w:r>
              <w:rPr/>
              <w:t>500,000.00</w:t>
            </w:r>
          </w:p>
        </w:tc>
        <w:tc>
          <w:tcPr>
            <w:tcW w:type="dxa" w:w="831"/>
          </w:tcPr>
          <w:p>
            <w:r>
              <w:rPr/>
              <w:t>工业</w:t>
            </w:r>
          </w:p>
        </w:tc>
        <w:tc>
          <w:tcPr>
            <w:tcW w:type="dxa" w:w="831"/>
          </w:tcPr>
          <w:p>
            <w:r>
              <w:rPr/>
              <w:t>详见附表一</w:t>
            </w:r>
          </w:p>
        </w:tc>
      </w:tr>
    </w:tbl>
    <w:p/>
    <w:p>
      <w:r>
        <w:rPr>
          <w:b/>
        </w:rPr>
        <w:t>附表</w:t>
      </w:r>
      <w:r>
        <w:rPr>
          <w:b/>
        </w:rPr>
        <w:t>一</w:t>
      </w:r>
      <w:r>
        <w:rPr>
          <w:b/>
        </w:rPr>
        <w:t>：</w:t>
      </w:r>
      <w:r>
        <w:rPr>
          <w:b/>
        </w:rPr>
        <w:t>传导抗扰度测试仪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一、适用标准</w:t>
            </w:r>
          </w:p>
          <w:p>
            <w:r>
              <w:rPr>
                <w:sz w:val="21"/>
              </w:rPr>
              <w:t>1.1、符合IEC61000-4-6、GB/T 17626.6、EN 298、EN 13611</w:t>
            </w:r>
            <w:r>
              <w:rPr>
                <w:sz w:val="21"/>
              </w:rPr>
              <w:t>的要求</w:t>
            </w:r>
            <w:r>
              <w:rPr>
                <w:sz w:val="21"/>
              </w:rPr>
              <w:t>。</w:t>
            </w:r>
          </w:p>
        </w:tc>
      </w:tr>
      <w:tr>
        <w:tc>
          <w:tcPr>
            <w:tcW w:type="dxa" w:w="2076"/>
          </w:tcPr>
          <w:p>
            <w:r>
              <w:rPr/>
              <w:t>▲</w:t>
            </w:r>
          </w:p>
        </w:tc>
        <w:tc>
          <w:tcPr>
            <w:tcW w:type="dxa" w:w="415"/>
          </w:tcPr>
          <w:p>
            <w:r>
              <w:rPr/>
              <w:t>2</w:t>
            </w:r>
          </w:p>
        </w:tc>
        <w:tc>
          <w:tcPr>
            <w:tcW w:type="dxa" w:w="5814"/>
          </w:tcPr>
          <w:p>
            <w:pPr>
              <w:jc w:val="left"/>
            </w:pPr>
            <w:r>
              <w:rPr>
                <w:sz w:val="21"/>
              </w:rPr>
              <w:t>二、结构要求</w:t>
            </w:r>
          </w:p>
          <w:p>
            <w:r>
              <w:rPr>
                <w:sz w:val="21"/>
              </w:rPr>
              <w:t>2.1、</w:t>
            </w:r>
            <w:r>
              <w:rPr>
                <w:sz w:val="21"/>
              </w:rPr>
              <w:t>传导抗扰度测试设备为集信号源、功率放大器、功率计、定向耦合器和连接电缆于一体的单台专用设备，配备单相电源线耦合去耦网络、电磁耦合钳、衰减器和用于连接的射频电缆等配件，配件和主机为同一品牌。</w:t>
            </w:r>
          </w:p>
        </w:tc>
      </w:tr>
      <w:tr>
        <w:tc>
          <w:tcPr>
            <w:tcW w:type="dxa" w:w="2076"/>
          </w:tcPr>
          <w:p>
            <w:r>
              <w:rPr/>
              <w:t>▲</w:t>
            </w:r>
          </w:p>
        </w:tc>
        <w:tc>
          <w:tcPr>
            <w:tcW w:type="dxa" w:w="415"/>
          </w:tcPr>
          <w:p>
            <w:r>
              <w:rPr/>
              <w:t>3</w:t>
            </w:r>
          </w:p>
        </w:tc>
        <w:tc>
          <w:tcPr>
            <w:tcW w:type="dxa" w:w="5814"/>
          </w:tcPr>
          <w:p>
            <w:pPr>
              <w:jc w:val="left"/>
            </w:pPr>
            <w:r>
              <w:rPr>
                <w:sz w:val="21"/>
              </w:rPr>
              <w:t>三、性能要求</w:t>
            </w:r>
          </w:p>
          <w:p>
            <w:r>
              <w:rPr>
                <w:sz w:val="21"/>
              </w:rPr>
              <w:t>3.1、</w:t>
            </w:r>
            <w:r>
              <w:rPr>
                <w:sz w:val="21"/>
              </w:rPr>
              <w:t>信号发生器频率范围：</w:t>
            </w:r>
            <w:r>
              <w:rPr>
                <w:sz w:val="21"/>
              </w:rPr>
              <w:t>4kHz～1GHz，频率分辨率≤1Hz；输出信号电平：-60dBm～+10dBm，分辨率≤0.1dB。</w:t>
            </w:r>
          </w:p>
        </w:tc>
      </w:tr>
      <w:tr>
        <w:tc>
          <w:tcPr>
            <w:tcW w:type="dxa" w:w="2076"/>
          </w:tcPr>
          <w:p/>
        </w:tc>
        <w:tc>
          <w:tcPr>
            <w:tcW w:type="dxa" w:w="415"/>
          </w:tcPr>
          <w:p>
            <w:r>
              <w:rPr/>
              <w:t>4</w:t>
            </w:r>
          </w:p>
        </w:tc>
        <w:tc>
          <w:tcPr>
            <w:tcW w:type="dxa" w:w="5814"/>
          </w:tcPr>
          <w:p>
            <w:pPr>
              <w:jc w:val="left"/>
            </w:pPr>
            <w:r>
              <w:rPr>
                <w:sz w:val="21"/>
              </w:rPr>
              <w:t>3.2、信号发生器调制方式：至少包含AM（幅度调制）和PM（脉冲调制）2种调制方式，其中：</w:t>
            </w:r>
          </w:p>
          <w:p>
            <w:pPr>
              <w:jc w:val="left"/>
            </w:pPr>
            <w:r>
              <w:rPr>
                <w:sz w:val="21"/>
              </w:rPr>
              <w:t>——AM调制要求：调制幅度：0%～100%；调制频率范围：1Hz～50kHz；频率分辨率</w:t>
            </w:r>
            <w:r>
              <w:rPr>
                <w:sz w:val="21"/>
              </w:rPr>
              <w:t>≤</w:t>
            </w:r>
            <w:r>
              <w:rPr>
                <w:sz w:val="21"/>
              </w:rPr>
              <w:t>1Hz；</w:t>
            </w:r>
          </w:p>
          <w:p>
            <w:r>
              <w:rPr>
                <w:sz w:val="21"/>
              </w:rPr>
              <w:t>——PM调制要求：调制频率范围：0.01Hz～1MHz；频率分辨率≤0.01Hz；占空比：0.1%～100%；</w:t>
            </w:r>
          </w:p>
        </w:tc>
      </w:tr>
      <w:tr>
        <w:tc>
          <w:tcPr>
            <w:tcW w:type="dxa" w:w="2076"/>
          </w:tcPr>
          <w:p/>
        </w:tc>
        <w:tc>
          <w:tcPr>
            <w:tcW w:type="dxa" w:w="415"/>
          </w:tcPr>
          <w:p>
            <w:r>
              <w:rPr/>
              <w:t>5</w:t>
            </w:r>
          </w:p>
        </w:tc>
        <w:tc>
          <w:tcPr>
            <w:tcW w:type="dxa" w:w="5814"/>
          </w:tcPr>
          <w:p>
            <w:pPr>
              <w:jc w:val="left"/>
            </w:pPr>
            <w:r>
              <w:rPr>
                <w:sz w:val="21"/>
              </w:rPr>
              <w:t>3.3、信号发生器具有自动扫频、手动扫频功能。</w:t>
            </w:r>
          </w:p>
          <w:p>
            <w:pPr>
              <w:jc w:val="left"/>
            </w:pPr>
            <w:r>
              <w:rPr>
                <w:sz w:val="21"/>
              </w:rPr>
              <w:t>——自动扫频测试模式：在150kHz～230MHz的频率范围，设备输出干扰电压应≥10V；</w:t>
            </w:r>
          </w:p>
          <w:p>
            <w:r>
              <w:rPr>
                <w:sz w:val="21"/>
              </w:rPr>
              <w:t>——手动扫频测试模式：在（13.56±0.007）MHz、（40.68±0.02）MHz、（27.125±1.5）MHz等特殊频率点，设备输出干扰电压应≥20V。</w:t>
            </w:r>
          </w:p>
        </w:tc>
      </w:tr>
      <w:tr>
        <w:tc>
          <w:tcPr>
            <w:tcW w:type="dxa" w:w="2076"/>
          </w:tcPr>
          <w:p>
            <w:r>
              <w:rPr/>
              <w:t>▲</w:t>
            </w:r>
          </w:p>
        </w:tc>
        <w:tc>
          <w:tcPr>
            <w:tcW w:type="dxa" w:w="415"/>
          </w:tcPr>
          <w:p>
            <w:r>
              <w:rPr/>
              <w:t>6</w:t>
            </w:r>
          </w:p>
        </w:tc>
        <w:tc>
          <w:tcPr>
            <w:tcW w:type="dxa" w:w="5814"/>
          </w:tcPr>
          <w:p>
            <w:r>
              <w:rPr>
                <w:sz w:val="21"/>
              </w:rPr>
              <w:t>3.</w:t>
            </w:r>
            <w:r>
              <w:rPr>
                <w:sz w:val="21"/>
              </w:rPr>
              <w:t>4、内置多通道功率计，频率范围：4kHz～1GHz；其中至少有3个通道可以提供外部使用。</w:t>
            </w:r>
          </w:p>
        </w:tc>
      </w:tr>
      <w:tr>
        <w:tc>
          <w:tcPr>
            <w:tcW w:type="dxa" w:w="2076"/>
          </w:tcPr>
          <w:p>
            <w:r>
              <w:rPr/>
              <w:t>▲</w:t>
            </w:r>
          </w:p>
        </w:tc>
        <w:tc>
          <w:tcPr>
            <w:tcW w:type="dxa" w:w="415"/>
          </w:tcPr>
          <w:p>
            <w:r>
              <w:rPr/>
              <w:t>7</w:t>
            </w:r>
          </w:p>
        </w:tc>
        <w:tc>
          <w:tcPr>
            <w:tcW w:type="dxa" w:w="5814"/>
          </w:tcPr>
          <w:p>
            <w:r>
              <w:rPr>
                <w:sz w:val="21"/>
              </w:rPr>
              <w:t>3.5、内置功率放大器，频率范围：150kHz～230MHz；标称输出功率≥80W；最小线性输出功率（1dB压缩点的最小输出功率）≥47.5dBm或56W；谐波＜-20dBc。</w:t>
            </w:r>
          </w:p>
        </w:tc>
      </w:tr>
      <w:tr>
        <w:tc>
          <w:tcPr>
            <w:tcW w:type="dxa" w:w="2076"/>
          </w:tcPr>
          <w:p>
            <w:r>
              <w:rPr/>
              <w:t>▲</w:t>
            </w:r>
          </w:p>
        </w:tc>
        <w:tc>
          <w:tcPr>
            <w:tcW w:type="dxa" w:w="415"/>
          </w:tcPr>
          <w:p>
            <w:r>
              <w:rPr/>
              <w:t>8</w:t>
            </w:r>
          </w:p>
        </w:tc>
        <w:tc>
          <w:tcPr>
            <w:tcW w:type="dxa" w:w="5814"/>
          </w:tcPr>
          <w:p>
            <w:r>
              <w:rPr>
                <w:sz w:val="21"/>
              </w:rPr>
              <w:t>3.</w:t>
            </w:r>
            <w:r>
              <w:rPr>
                <w:sz w:val="21"/>
              </w:rPr>
              <w:t>6、</w:t>
            </w:r>
            <w:r>
              <w:rPr>
                <w:sz w:val="21"/>
              </w:rPr>
              <w:t>内置基于菜单的控制软件，可以通过前面板的触摸屏和各种功能键、数字键方便地进行手动操作。</w:t>
            </w:r>
          </w:p>
        </w:tc>
      </w:tr>
      <w:tr>
        <w:tc>
          <w:tcPr>
            <w:tcW w:type="dxa" w:w="2076"/>
          </w:tcPr>
          <w:p/>
        </w:tc>
        <w:tc>
          <w:tcPr>
            <w:tcW w:type="dxa" w:w="415"/>
          </w:tcPr>
          <w:p>
            <w:r>
              <w:rPr/>
              <w:t>9</w:t>
            </w:r>
          </w:p>
        </w:tc>
        <w:tc>
          <w:tcPr>
            <w:tcW w:type="dxa" w:w="5814"/>
          </w:tcPr>
          <w:p>
            <w:r>
              <w:rPr>
                <w:sz w:val="21"/>
              </w:rPr>
              <w:t>3.7、配置50Ω的6dB衰减器，功率≥150W</w:t>
            </w:r>
          </w:p>
        </w:tc>
      </w:tr>
      <w:tr>
        <w:tc>
          <w:tcPr>
            <w:tcW w:type="dxa" w:w="2076"/>
          </w:tcPr>
          <w:p/>
        </w:tc>
        <w:tc>
          <w:tcPr>
            <w:tcW w:type="dxa" w:w="415"/>
          </w:tcPr>
          <w:p>
            <w:r>
              <w:rPr/>
              <w:t>10</w:t>
            </w:r>
          </w:p>
        </w:tc>
        <w:tc>
          <w:tcPr>
            <w:tcW w:type="dxa" w:w="5814"/>
          </w:tcPr>
          <w:p>
            <w:r>
              <w:rPr>
                <w:sz w:val="21"/>
              </w:rPr>
              <w:t>3.8、配置CDN M2/3（开关可选M2或M3）电源线耦合去耦网络1套，带校准装置，16A，频率：150kHz～230MHz；</w:t>
            </w:r>
          </w:p>
        </w:tc>
      </w:tr>
      <w:tr>
        <w:tc>
          <w:tcPr>
            <w:tcW w:type="dxa" w:w="2076"/>
          </w:tcPr>
          <w:p/>
        </w:tc>
        <w:tc>
          <w:tcPr>
            <w:tcW w:type="dxa" w:w="415"/>
          </w:tcPr>
          <w:p>
            <w:r>
              <w:rPr/>
              <w:t>11</w:t>
            </w:r>
          </w:p>
        </w:tc>
        <w:tc>
          <w:tcPr>
            <w:tcW w:type="dxa" w:w="5814"/>
          </w:tcPr>
          <w:p>
            <w:r>
              <w:rPr>
                <w:sz w:val="21"/>
              </w:rPr>
              <w:t>3.9、</w:t>
            </w:r>
            <w:r>
              <w:rPr>
                <w:color w:val="000000"/>
                <w:sz w:val="21"/>
              </w:rPr>
              <w:t>配置电磁耦合钳</w:t>
            </w:r>
            <w:r>
              <w:rPr>
                <w:color w:val="000000"/>
                <w:sz w:val="21"/>
              </w:rPr>
              <w:t>1套，可容纳的线径不小于20毫米，带校准装置，频率：150kHz～1000MHz；</w:t>
            </w:r>
          </w:p>
        </w:tc>
      </w:tr>
      <w:tr>
        <w:tc>
          <w:tcPr>
            <w:tcW w:type="dxa" w:w="2076"/>
          </w:tcPr>
          <w:p>
            <w:r>
              <w:rPr/>
              <w:t>▲</w:t>
            </w:r>
          </w:p>
        </w:tc>
        <w:tc>
          <w:tcPr>
            <w:tcW w:type="dxa" w:w="415"/>
          </w:tcPr>
          <w:p>
            <w:r>
              <w:rPr/>
              <w:t>12</w:t>
            </w:r>
          </w:p>
        </w:tc>
        <w:tc>
          <w:tcPr>
            <w:tcW w:type="dxa" w:w="5814"/>
          </w:tcPr>
          <w:p>
            <w:pPr>
              <w:jc w:val="left"/>
            </w:pPr>
            <w:r>
              <w:rPr>
                <w:sz w:val="21"/>
              </w:rPr>
              <w:t>3.10、测试干扰电压技术要求：</w:t>
            </w:r>
          </w:p>
          <w:p>
            <w:pPr>
              <w:jc w:val="left"/>
            </w:pPr>
            <w:r>
              <w:rPr>
                <w:sz w:val="21"/>
              </w:rPr>
              <w:t>——耦合去耦网络（CDN）：≥30V；</w:t>
            </w:r>
          </w:p>
          <w:p>
            <w:r>
              <w:rPr>
                <w:sz w:val="21"/>
              </w:rPr>
              <w:t>——电磁钳（EM CLAMP）：≥22V；</w:t>
            </w:r>
          </w:p>
        </w:tc>
      </w:tr>
      <w:tr>
        <w:tc>
          <w:tcPr>
            <w:tcW w:type="dxa" w:w="2076"/>
          </w:tcPr>
          <w:p/>
        </w:tc>
        <w:tc>
          <w:tcPr>
            <w:tcW w:type="dxa" w:w="415"/>
          </w:tcPr>
          <w:p>
            <w:r>
              <w:rPr/>
              <w:t>13</w:t>
            </w:r>
          </w:p>
        </w:tc>
        <w:tc>
          <w:tcPr>
            <w:tcW w:type="dxa" w:w="5814"/>
          </w:tcPr>
          <w:p>
            <w:r>
              <w:rPr>
                <w:sz w:val="21"/>
              </w:rPr>
              <w:t>3.11、通讯接口包括有：RS232接口、USB接口和网络接口RJ45。</w:t>
            </w:r>
          </w:p>
        </w:tc>
      </w:tr>
      <w:tr>
        <w:tc>
          <w:tcPr>
            <w:tcW w:type="dxa" w:w="2076"/>
          </w:tcPr>
          <w:p/>
        </w:tc>
        <w:tc>
          <w:tcPr>
            <w:tcW w:type="dxa" w:w="415"/>
          </w:tcPr>
          <w:p>
            <w:r>
              <w:rPr/>
              <w:t>14</w:t>
            </w:r>
          </w:p>
        </w:tc>
        <w:tc>
          <w:tcPr>
            <w:tcW w:type="dxa" w:w="5814"/>
          </w:tcPr>
          <w:p>
            <w:r>
              <w:rPr>
                <w:sz w:val="21"/>
              </w:rPr>
              <w:t>3.12、具有扩展功能，通过外加功率放大器及相应测试配件能够进行IEC 61000-4-3、ISO 11452-4（BCI）测试。</w:t>
            </w:r>
          </w:p>
        </w:tc>
      </w:tr>
      <w:tr>
        <w:tc>
          <w:tcPr>
            <w:tcW w:type="dxa" w:w="2076"/>
          </w:tcPr>
          <w:p>
            <w:r>
              <w:rPr/>
              <w:t>▲</w:t>
            </w:r>
          </w:p>
        </w:tc>
        <w:tc>
          <w:tcPr>
            <w:tcW w:type="dxa" w:w="415"/>
          </w:tcPr>
          <w:p>
            <w:r>
              <w:rPr/>
              <w:t>15</w:t>
            </w:r>
          </w:p>
        </w:tc>
        <w:tc>
          <w:tcPr>
            <w:tcW w:type="dxa" w:w="5814"/>
          </w:tcPr>
          <w:p>
            <w:r>
              <w:rPr>
                <w:sz w:val="21"/>
              </w:rPr>
              <w:t>3.</w:t>
            </w:r>
            <w:r>
              <w:rPr>
                <w:sz w:val="21"/>
              </w:rPr>
              <w:t>13、测试系统具有对功放输出是否出现饱和的检测功能。</w:t>
            </w:r>
          </w:p>
        </w:tc>
      </w:tr>
      <w:tr>
        <w:tc>
          <w:tcPr>
            <w:tcW w:type="dxa" w:w="2076"/>
          </w:tcPr>
          <w:p/>
        </w:tc>
        <w:tc>
          <w:tcPr>
            <w:tcW w:type="dxa" w:w="415"/>
          </w:tcPr>
          <w:p>
            <w:r>
              <w:rPr/>
              <w:t>16</w:t>
            </w:r>
          </w:p>
        </w:tc>
        <w:tc>
          <w:tcPr>
            <w:tcW w:type="dxa" w:w="5814"/>
          </w:tcPr>
          <w:p>
            <w:pPr>
              <w:jc w:val="left"/>
            </w:pPr>
            <w:r>
              <w:rPr>
                <w:sz w:val="21"/>
              </w:rPr>
              <w:t>四、</w:t>
            </w:r>
            <w:r>
              <w:rPr>
                <w:sz w:val="21"/>
              </w:rPr>
              <w:t>使用环境要求</w:t>
            </w:r>
          </w:p>
          <w:p>
            <w:r>
              <w:rPr>
                <w:sz w:val="21"/>
              </w:rPr>
              <w:t>4.1、使用温湿度范围：0℃-40℃，相对湿度：20%-80%。</w:t>
            </w:r>
          </w:p>
        </w:tc>
      </w:tr>
      <w:tr>
        <w:tc>
          <w:tcPr>
            <w:tcW w:type="dxa" w:w="2076"/>
          </w:tcPr>
          <w:p/>
        </w:tc>
        <w:tc>
          <w:tcPr>
            <w:tcW w:type="dxa" w:w="415"/>
          </w:tcPr>
          <w:p>
            <w:r>
              <w:rPr/>
              <w:t>17</w:t>
            </w:r>
          </w:p>
        </w:tc>
        <w:tc>
          <w:tcPr>
            <w:tcW w:type="dxa" w:w="5814"/>
          </w:tcPr>
          <w:p>
            <w:r>
              <w:rPr>
                <w:sz w:val="21"/>
              </w:rPr>
              <w:t>4.2、供电电源：额定电压AC220-240V；额定频率50Hz/60Hz</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采购包2（电离辐射检测仪、便携音响设备声级测试系统）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其他试验仪器及装置</w:t>
            </w:r>
          </w:p>
        </w:tc>
        <w:tc>
          <w:tcPr>
            <w:tcW w:type="dxa" w:w="831"/>
          </w:tcPr>
          <w:p>
            <w:pPr>
              <w:jc w:val="left"/>
            </w:pPr>
            <w:r>
              <w:rPr/>
              <w:t>电离辐射检测仪</w:t>
            </w:r>
          </w:p>
        </w:tc>
        <w:tc>
          <w:tcPr>
            <w:tcW w:type="dxa" w:w="831"/>
          </w:tcPr>
          <w:p>
            <w:pPr>
              <w:jc w:val="left"/>
            </w:pPr>
            <w:r>
              <w:rPr/>
              <w:t>套</w:t>
            </w:r>
          </w:p>
        </w:tc>
        <w:tc>
          <w:tcPr>
            <w:tcW w:type="dxa" w:w="831"/>
          </w:tcPr>
          <w:p>
            <w:pPr>
              <w:jc w:val="right"/>
            </w:pPr>
            <w:r>
              <w:rPr/>
              <w:t>1.00</w:t>
            </w:r>
          </w:p>
        </w:tc>
        <w:tc>
          <w:tcPr>
            <w:tcW w:type="dxa" w:w="831"/>
          </w:tcPr>
          <w:p>
            <w:pPr>
              <w:jc w:val="right"/>
            </w:pPr>
            <w:r>
              <w:rPr/>
              <w:t>50,000.00</w:t>
            </w:r>
          </w:p>
        </w:tc>
        <w:tc>
          <w:tcPr>
            <w:tcW w:type="dxa" w:w="831"/>
          </w:tcPr>
          <w:p>
            <w:pPr>
              <w:jc w:val="right"/>
            </w:pPr>
            <w:r>
              <w:rPr/>
              <w:t>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电话、电声测试仪器</w:t>
            </w:r>
          </w:p>
        </w:tc>
        <w:tc>
          <w:tcPr>
            <w:tcW w:type="dxa" w:w="831"/>
          </w:tcPr>
          <w:p>
            <w:pPr>
              <w:jc w:val="left"/>
            </w:pPr>
            <w:r>
              <w:rPr/>
              <w:t>便携音响设备声级测试系统</w:t>
            </w:r>
          </w:p>
        </w:tc>
        <w:tc>
          <w:tcPr>
            <w:tcW w:type="dxa" w:w="831"/>
          </w:tcPr>
          <w:p>
            <w:pPr>
              <w:jc w:val="left"/>
            </w:pPr>
            <w:r>
              <w:rPr/>
              <w:t>套</w:t>
            </w:r>
          </w:p>
        </w:tc>
        <w:tc>
          <w:tcPr>
            <w:tcW w:type="dxa" w:w="831"/>
          </w:tcPr>
          <w:p>
            <w:pPr>
              <w:jc w:val="right"/>
            </w:pPr>
            <w:r>
              <w:rPr/>
              <w:t>1.00</w:t>
            </w:r>
          </w:p>
        </w:tc>
        <w:tc>
          <w:tcPr>
            <w:tcW w:type="dxa" w:w="831"/>
          </w:tcPr>
          <w:p>
            <w:pPr>
              <w:jc w:val="right"/>
            </w:pPr>
            <w:r>
              <w:rPr/>
              <w:t>498,000.00</w:t>
            </w:r>
          </w:p>
        </w:tc>
        <w:tc>
          <w:tcPr>
            <w:tcW w:type="dxa" w:w="831"/>
          </w:tcPr>
          <w:p>
            <w:pPr>
              <w:jc w:val="right"/>
            </w:pPr>
            <w:r>
              <w:rPr/>
              <w:t>498,000.00</w:t>
            </w:r>
          </w:p>
        </w:tc>
        <w:tc>
          <w:tcPr>
            <w:tcW w:type="dxa" w:w="831"/>
          </w:tcPr>
          <w:p>
            <w:r>
              <w:rPr/>
              <w:t>工业</w:t>
            </w:r>
          </w:p>
        </w:tc>
        <w:tc>
          <w:tcPr>
            <w:tcW w:type="dxa" w:w="831"/>
          </w:tcPr>
          <w:p>
            <w:r>
              <w:rPr/>
              <w:t>详见附表二</w:t>
            </w:r>
          </w:p>
        </w:tc>
      </w:tr>
    </w:tbl>
    <w:p/>
    <w:p>
      <w:r>
        <w:rPr>
          <w:b/>
        </w:rPr>
        <w:t>附表</w:t>
      </w:r>
      <w:r>
        <w:rPr>
          <w:b/>
        </w:rPr>
        <w:t>一</w:t>
      </w:r>
      <w:r>
        <w:rPr>
          <w:b/>
        </w:rPr>
        <w:t>：</w:t>
      </w:r>
      <w:r>
        <w:rPr>
          <w:b/>
        </w:rPr>
        <w:t>电离辐射检测仪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一、</w:t>
            </w:r>
            <w:r>
              <w:rPr>
                <w:sz w:val="21"/>
              </w:rPr>
              <w:t>满足标准：</w:t>
            </w:r>
          </w:p>
          <w:p>
            <w:r>
              <w:rPr>
                <w:sz w:val="21"/>
              </w:rPr>
              <w:t>符合</w:t>
            </w:r>
            <w:r>
              <w:rPr>
                <w:sz w:val="21"/>
              </w:rPr>
              <w:t>GB4943.1-2022</w:t>
            </w:r>
            <w:r>
              <w:rPr>
                <w:sz w:val="21"/>
              </w:rPr>
              <w:t>、</w:t>
            </w:r>
            <w:r>
              <w:rPr>
                <w:sz w:val="21"/>
              </w:rPr>
              <w:t>IEC 62368-1</w:t>
            </w:r>
            <w:r>
              <w:rPr>
                <w:sz w:val="21"/>
              </w:rPr>
              <w:t>标准的要求</w:t>
            </w:r>
          </w:p>
        </w:tc>
      </w:tr>
      <w:tr>
        <w:tc>
          <w:tcPr>
            <w:tcW w:type="dxa" w:w="2076"/>
          </w:tcPr>
          <w:p>
            <w:r>
              <w:rPr/>
              <w:t>▲</w:t>
            </w:r>
          </w:p>
        </w:tc>
        <w:tc>
          <w:tcPr>
            <w:tcW w:type="dxa" w:w="415"/>
          </w:tcPr>
          <w:p>
            <w:r>
              <w:rPr/>
              <w:t>2</w:t>
            </w:r>
          </w:p>
        </w:tc>
        <w:tc>
          <w:tcPr>
            <w:tcW w:type="dxa" w:w="5814"/>
          </w:tcPr>
          <w:p>
            <w:pPr>
              <w:jc w:val="left"/>
            </w:pPr>
            <w:r>
              <w:rPr>
                <w:sz w:val="21"/>
              </w:rPr>
              <w:t>二、主要技术参数：</w:t>
            </w:r>
          </w:p>
          <w:p>
            <w:r>
              <w:rPr>
                <w:sz w:val="21"/>
              </w:rPr>
              <w:t>1.</w:t>
            </w:r>
            <w:r>
              <w:rPr>
                <w:sz w:val="21"/>
              </w:rPr>
              <w:t>可探测辐射</w:t>
            </w:r>
            <w:r>
              <w:rPr>
                <w:sz w:val="21"/>
              </w:rPr>
              <w:t>:Alpha（高于7.5 MeV）</w:t>
            </w:r>
            <w:r>
              <w:rPr>
                <w:sz w:val="21"/>
              </w:rPr>
              <w:t>；</w:t>
            </w:r>
            <w:r>
              <w:rPr>
                <w:sz w:val="21"/>
              </w:rPr>
              <w:t xml:space="preserve"> Beta（高于100 keV）</w:t>
            </w:r>
            <w:r>
              <w:rPr>
                <w:sz w:val="21"/>
              </w:rPr>
              <w:t>；</w:t>
            </w:r>
            <w:r>
              <w:rPr>
                <w:sz w:val="21"/>
              </w:rPr>
              <w:t>Gamma（高于7 keV）</w:t>
            </w:r>
          </w:p>
        </w:tc>
      </w:tr>
      <w:tr>
        <w:tc>
          <w:tcPr>
            <w:tcW w:type="dxa" w:w="2076"/>
          </w:tcPr>
          <w:p>
            <w:r>
              <w:rPr/>
              <w:t>▲</w:t>
            </w:r>
          </w:p>
        </w:tc>
        <w:tc>
          <w:tcPr>
            <w:tcW w:type="dxa" w:w="415"/>
          </w:tcPr>
          <w:p>
            <w:r>
              <w:rPr/>
              <w:t>3</w:t>
            </w:r>
          </w:p>
        </w:tc>
        <w:tc>
          <w:tcPr>
            <w:tcW w:type="dxa" w:w="5814"/>
          </w:tcPr>
          <w:p>
            <w:pPr>
              <w:jc w:val="both"/>
            </w:pPr>
            <w:r>
              <w:rPr>
                <w:sz w:val="21"/>
              </w:rPr>
              <w:t>2.</w:t>
            </w:r>
            <w:r>
              <w:rPr>
                <w:sz w:val="21"/>
              </w:rPr>
              <w:t>操作量程</w:t>
            </w:r>
            <w:r>
              <w:rPr>
                <w:sz w:val="21"/>
              </w:rPr>
              <w:t>至少包含</w:t>
            </w:r>
            <w:r>
              <w:rPr>
                <w:sz w:val="21"/>
              </w:rPr>
              <w:t>：</w:t>
            </w:r>
          </w:p>
          <w:p>
            <w:pPr>
              <w:jc w:val="both"/>
            </w:pPr>
            <w:r>
              <w:rPr>
                <w:sz w:val="21"/>
              </w:rPr>
              <w:t>(</w:t>
            </w:r>
            <w:r>
              <w:rPr>
                <w:sz w:val="21"/>
              </w:rPr>
              <w:t>0</w:t>
            </w:r>
            <w:r>
              <w:rPr>
                <w:sz w:val="21"/>
              </w:rPr>
              <w:t>~</w:t>
            </w:r>
            <w:r>
              <w:rPr>
                <w:sz w:val="21"/>
              </w:rPr>
              <w:t>5</w:t>
            </w:r>
            <w:r>
              <w:rPr>
                <w:sz w:val="21"/>
              </w:rPr>
              <w:t>）</w:t>
            </w:r>
            <w:r>
              <w:rPr>
                <w:sz w:val="21"/>
              </w:rPr>
              <w:t>mR/h或</w:t>
            </w:r>
            <w:r>
              <w:rPr>
                <w:sz w:val="21"/>
              </w:rPr>
              <w:t>(</w:t>
            </w:r>
            <w:r>
              <w:rPr>
                <w:sz w:val="21"/>
              </w:rPr>
              <w:t>0</w:t>
            </w:r>
            <w:r>
              <w:rPr>
                <w:sz w:val="21"/>
              </w:rPr>
              <w:t>~</w:t>
            </w:r>
            <w:r>
              <w:rPr>
                <w:sz w:val="21"/>
              </w:rPr>
              <w:t>50</w:t>
            </w:r>
            <w:r>
              <w:rPr>
                <w:sz w:val="21"/>
              </w:rPr>
              <w:t>）</w:t>
            </w:r>
            <w:r>
              <w:rPr>
                <w:sz w:val="21"/>
              </w:rPr>
              <w:t>µSv/h</w:t>
            </w:r>
          </w:p>
          <w:p>
            <w:pPr>
              <w:jc w:val="both"/>
            </w:pPr>
            <w:r>
              <w:rPr>
                <w:sz w:val="21"/>
              </w:rPr>
              <w:t>(</w:t>
            </w:r>
            <w:r>
              <w:rPr>
                <w:sz w:val="21"/>
              </w:rPr>
              <w:t>0</w:t>
            </w:r>
            <w:r>
              <w:rPr>
                <w:sz w:val="21"/>
              </w:rPr>
              <w:t>~</w:t>
            </w:r>
            <w:r>
              <w:rPr>
                <w:sz w:val="21"/>
              </w:rPr>
              <w:t>50</w:t>
            </w:r>
            <w:r>
              <w:rPr>
                <w:sz w:val="21"/>
              </w:rPr>
              <w:t>）</w:t>
            </w:r>
            <w:r>
              <w:rPr>
                <w:sz w:val="21"/>
              </w:rPr>
              <w:t>mR/h或</w:t>
            </w:r>
            <w:r>
              <w:rPr>
                <w:sz w:val="21"/>
              </w:rPr>
              <w:t>(</w:t>
            </w:r>
            <w:r>
              <w:rPr>
                <w:sz w:val="21"/>
              </w:rPr>
              <w:t>0</w:t>
            </w:r>
            <w:r>
              <w:rPr>
                <w:sz w:val="21"/>
              </w:rPr>
              <w:t>~</w:t>
            </w:r>
            <w:r>
              <w:rPr>
                <w:sz w:val="21"/>
              </w:rPr>
              <w:t>500</w:t>
            </w:r>
            <w:r>
              <w:rPr>
                <w:sz w:val="21"/>
              </w:rPr>
              <w:t>）</w:t>
            </w:r>
            <w:r>
              <w:rPr>
                <w:sz w:val="21"/>
              </w:rPr>
              <w:t>µSv/h</w:t>
            </w:r>
          </w:p>
          <w:p>
            <w:pPr>
              <w:jc w:val="both"/>
            </w:pPr>
            <w:r>
              <w:rPr>
                <w:sz w:val="21"/>
              </w:rPr>
              <w:t>(</w:t>
            </w:r>
            <w:r>
              <w:rPr>
                <w:sz w:val="21"/>
              </w:rPr>
              <w:t>0</w:t>
            </w:r>
            <w:r>
              <w:rPr>
                <w:sz w:val="21"/>
              </w:rPr>
              <w:t>~</w:t>
            </w:r>
            <w:r>
              <w:rPr>
                <w:sz w:val="21"/>
              </w:rPr>
              <w:t>500</w:t>
            </w:r>
            <w:r>
              <w:rPr>
                <w:sz w:val="21"/>
              </w:rPr>
              <w:t>）</w:t>
            </w:r>
            <w:r>
              <w:rPr>
                <w:sz w:val="21"/>
              </w:rPr>
              <w:t>mR/h或</w:t>
            </w:r>
            <w:r>
              <w:rPr>
                <w:sz w:val="21"/>
              </w:rPr>
              <w:t>(</w:t>
            </w:r>
            <w:r>
              <w:rPr>
                <w:sz w:val="21"/>
              </w:rPr>
              <w:t>0</w:t>
            </w:r>
            <w:r>
              <w:rPr>
                <w:sz w:val="21"/>
              </w:rPr>
              <w:t>~</w:t>
            </w:r>
            <w:r>
              <w:rPr>
                <w:sz w:val="21"/>
              </w:rPr>
              <w:t>5</w:t>
            </w:r>
            <w:r>
              <w:rPr>
                <w:sz w:val="21"/>
              </w:rPr>
              <w:t>）</w:t>
            </w:r>
            <w:r>
              <w:rPr>
                <w:sz w:val="21"/>
              </w:rPr>
              <w:t>mSv/h</w:t>
            </w:r>
          </w:p>
          <w:p>
            <w:pPr>
              <w:jc w:val="both"/>
            </w:pPr>
            <w:r>
              <w:rPr>
                <w:sz w:val="21"/>
              </w:rPr>
              <w:t>(</w:t>
            </w:r>
            <w:r>
              <w:rPr>
                <w:sz w:val="21"/>
              </w:rPr>
              <w:t>0</w:t>
            </w:r>
            <w:r>
              <w:rPr>
                <w:sz w:val="21"/>
              </w:rPr>
              <w:t>~</w:t>
            </w:r>
            <w:r>
              <w:rPr>
                <w:sz w:val="21"/>
              </w:rPr>
              <w:t>5</w:t>
            </w:r>
            <w:r>
              <w:rPr>
                <w:sz w:val="21"/>
              </w:rPr>
              <w:t>）</w:t>
            </w:r>
            <w:r>
              <w:rPr>
                <w:sz w:val="21"/>
              </w:rPr>
              <w:t>R/h或</w:t>
            </w:r>
            <w:r>
              <w:rPr>
                <w:sz w:val="21"/>
              </w:rPr>
              <w:t>(</w:t>
            </w:r>
            <w:r>
              <w:rPr>
                <w:sz w:val="21"/>
              </w:rPr>
              <w:t>0</w:t>
            </w:r>
            <w:r>
              <w:rPr>
                <w:sz w:val="21"/>
              </w:rPr>
              <w:t>~</w:t>
            </w:r>
            <w:r>
              <w:rPr>
                <w:sz w:val="21"/>
              </w:rPr>
              <w:t>50</w:t>
            </w:r>
            <w:r>
              <w:rPr>
                <w:sz w:val="21"/>
              </w:rPr>
              <w:t>）</w:t>
            </w:r>
            <w:r>
              <w:rPr>
                <w:sz w:val="21"/>
              </w:rPr>
              <w:t>mSv/h</w:t>
            </w:r>
          </w:p>
          <w:p>
            <w:r>
              <w:rPr>
                <w:sz w:val="21"/>
              </w:rPr>
              <w:t>(</w:t>
            </w:r>
            <w:r>
              <w:rPr>
                <w:sz w:val="21"/>
              </w:rPr>
              <w:t>0</w:t>
            </w:r>
            <w:r>
              <w:rPr>
                <w:sz w:val="21"/>
              </w:rPr>
              <w:t>~</w:t>
            </w:r>
            <w:r>
              <w:rPr>
                <w:sz w:val="21"/>
              </w:rPr>
              <w:t>50</w:t>
            </w:r>
            <w:r>
              <w:rPr>
                <w:sz w:val="21"/>
              </w:rPr>
              <w:t>）</w:t>
            </w:r>
            <w:r>
              <w:rPr>
                <w:sz w:val="21"/>
              </w:rPr>
              <w:t>R/h或</w:t>
            </w:r>
            <w:r>
              <w:rPr>
                <w:sz w:val="21"/>
              </w:rPr>
              <w:t>(</w:t>
            </w:r>
            <w:r>
              <w:rPr>
                <w:sz w:val="21"/>
              </w:rPr>
              <w:t>0</w:t>
            </w:r>
            <w:r>
              <w:rPr>
                <w:sz w:val="21"/>
              </w:rPr>
              <w:t>~</w:t>
            </w:r>
            <w:r>
              <w:rPr>
                <w:sz w:val="21"/>
              </w:rPr>
              <w:t>500</w:t>
            </w:r>
            <w:r>
              <w:rPr>
                <w:sz w:val="21"/>
              </w:rPr>
              <w:t>）</w:t>
            </w:r>
            <w:r>
              <w:rPr>
                <w:sz w:val="21"/>
              </w:rPr>
              <w:t>mSv/h</w:t>
            </w:r>
          </w:p>
        </w:tc>
      </w:tr>
      <w:tr>
        <w:tc>
          <w:tcPr>
            <w:tcW w:type="dxa" w:w="2076"/>
          </w:tcPr>
          <w:p>
            <w:r>
              <w:rPr/>
              <w:t>▲</w:t>
            </w:r>
          </w:p>
        </w:tc>
        <w:tc>
          <w:tcPr>
            <w:tcW w:type="dxa" w:w="415"/>
          </w:tcPr>
          <w:p>
            <w:r>
              <w:rPr/>
              <w:t>4</w:t>
            </w:r>
          </w:p>
        </w:tc>
        <w:tc>
          <w:tcPr>
            <w:tcW w:type="dxa" w:w="5814"/>
          </w:tcPr>
          <w:p>
            <w:r>
              <w:rPr>
                <w:sz w:val="21"/>
              </w:rPr>
              <w:t>3.准确度：在任何量程满刻度指示的</w:t>
            </w:r>
            <w:r>
              <w:rPr>
                <w:sz w:val="21"/>
              </w:rPr>
              <w:t>10%</w:t>
            </w:r>
            <w:r>
              <w:rPr>
                <w:sz w:val="21"/>
              </w:rPr>
              <w:t>－</w:t>
            </w:r>
            <w:r>
              <w:rPr>
                <w:sz w:val="21"/>
              </w:rPr>
              <w:t>100%</w:t>
            </w:r>
            <w:r>
              <w:rPr>
                <w:sz w:val="21"/>
              </w:rPr>
              <w:t>之间精度在</w:t>
            </w:r>
            <w:r>
              <w:rPr>
                <w:sz w:val="21"/>
              </w:rPr>
              <w:t>10%</w:t>
            </w:r>
            <w:r>
              <w:rPr>
                <w:sz w:val="21"/>
              </w:rPr>
              <w:t>以内</w:t>
            </w:r>
          </w:p>
        </w:tc>
      </w:tr>
      <w:tr>
        <w:tc>
          <w:tcPr>
            <w:tcW w:type="dxa" w:w="2076"/>
          </w:tcPr>
          <w:p/>
        </w:tc>
        <w:tc>
          <w:tcPr>
            <w:tcW w:type="dxa" w:w="415"/>
          </w:tcPr>
          <w:p>
            <w:r>
              <w:rPr/>
              <w:t>5</w:t>
            </w:r>
          </w:p>
        </w:tc>
        <w:tc>
          <w:tcPr>
            <w:tcW w:type="dxa" w:w="5814"/>
          </w:tcPr>
          <w:p>
            <w:pPr>
              <w:jc w:val="both"/>
            </w:pPr>
            <w:r>
              <w:rPr>
                <w:sz w:val="21"/>
              </w:rPr>
              <w:t>4.</w:t>
            </w:r>
            <w:r>
              <w:rPr>
                <w:sz w:val="21"/>
              </w:rPr>
              <w:t>响应时间</w:t>
            </w:r>
            <w:r>
              <w:rPr>
                <w:sz w:val="21"/>
              </w:rPr>
              <w:t>不劣于</w:t>
            </w:r>
            <w:r>
              <w:rPr>
                <w:sz w:val="21"/>
              </w:rPr>
              <w:t>：</w:t>
            </w:r>
          </w:p>
          <w:p>
            <w:pPr>
              <w:jc w:val="both"/>
            </w:pPr>
            <w:r>
              <w:rPr>
                <w:sz w:val="21"/>
              </w:rPr>
              <w:t>(</w:t>
            </w:r>
            <w:r>
              <w:rPr>
                <w:sz w:val="21"/>
              </w:rPr>
              <w:t>0</w:t>
            </w:r>
            <w:r>
              <w:rPr>
                <w:sz w:val="21"/>
              </w:rPr>
              <w:t>~</w:t>
            </w:r>
            <w:r>
              <w:rPr>
                <w:sz w:val="21"/>
              </w:rPr>
              <w:t>5</w:t>
            </w:r>
            <w:r>
              <w:rPr>
                <w:sz w:val="21"/>
              </w:rPr>
              <w:t>）</w:t>
            </w:r>
            <w:r>
              <w:rPr>
                <w:sz w:val="21"/>
              </w:rPr>
              <w:t>mR/h或</w:t>
            </w:r>
            <w:r>
              <w:rPr>
                <w:sz w:val="21"/>
              </w:rPr>
              <w:t>(</w:t>
            </w:r>
            <w:r>
              <w:rPr>
                <w:sz w:val="21"/>
              </w:rPr>
              <w:t>0</w:t>
            </w:r>
            <w:r>
              <w:rPr>
                <w:sz w:val="21"/>
              </w:rPr>
              <w:t>~</w:t>
            </w:r>
            <w:r>
              <w:rPr>
                <w:sz w:val="21"/>
              </w:rPr>
              <w:t>50</w:t>
            </w:r>
            <w:r>
              <w:rPr>
                <w:sz w:val="21"/>
              </w:rPr>
              <w:t>）</w:t>
            </w:r>
            <w:r>
              <w:rPr>
                <w:sz w:val="21"/>
              </w:rPr>
              <w:t>µSv/h</w:t>
            </w:r>
            <w:r>
              <w:rPr>
                <w:sz w:val="21"/>
              </w:rPr>
              <w:t>:</w:t>
            </w:r>
            <w:r>
              <w:rPr>
                <w:sz w:val="21"/>
              </w:rPr>
              <w:t>8</w:t>
            </w:r>
            <w:r>
              <w:rPr>
                <w:sz w:val="21"/>
              </w:rPr>
              <w:t>s</w:t>
            </w:r>
          </w:p>
          <w:p>
            <w:pPr>
              <w:jc w:val="both"/>
            </w:pPr>
            <w:r>
              <w:rPr>
                <w:sz w:val="21"/>
              </w:rPr>
              <w:t>(</w:t>
            </w:r>
            <w:r>
              <w:rPr>
                <w:sz w:val="21"/>
              </w:rPr>
              <w:t>0</w:t>
            </w:r>
            <w:r>
              <w:rPr>
                <w:sz w:val="21"/>
              </w:rPr>
              <w:t>~</w:t>
            </w:r>
            <w:r>
              <w:rPr>
                <w:sz w:val="21"/>
              </w:rPr>
              <w:t>50</w:t>
            </w:r>
            <w:r>
              <w:rPr>
                <w:sz w:val="21"/>
              </w:rPr>
              <w:t>）</w:t>
            </w:r>
            <w:r>
              <w:rPr>
                <w:sz w:val="21"/>
              </w:rPr>
              <w:t>mR/h或</w:t>
            </w:r>
            <w:r>
              <w:rPr>
                <w:sz w:val="21"/>
              </w:rPr>
              <w:t>(</w:t>
            </w:r>
            <w:r>
              <w:rPr>
                <w:sz w:val="21"/>
              </w:rPr>
              <w:t>0</w:t>
            </w:r>
            <w:r>
              <w:rPr>
                <w:sz w:val="21"/>
              </w:rPr>
              <w:t>~</w:t>
            </w:r>
            <w:r>
              <w:rPr>
                <w:sz w:val="21"/>
              </w:rPr>
              <w:t>500</w:t>
            </w:r>
            <w:r>
              <w:rPr>
                <w:sz w:val="21"/>
              </w:rPr>
              <w:t>）</w:t>
            </w:r>
            <w:r>
              <w:rPr>
                <w:sz w:val="21"/>
              </w:rPr>
              <w:t>µSv/h</w:t>
            </w:r>
            <w:r>
              <w:rPr>
                <w:sz w:val="21"/>
              </w:rPr>
              <w:t>:</w:t>
            </w:r>
            <w:r>
              <w:rPr>
                <w:sz w:val="21"/>
              </w:rPr>
              <w:t>2.5</w:t>
            </w:r>
            <w:r>
              <w:rPr>
                <w:sz w:val="21"/>
              </w:rPr>
              <w:t>s</w:t>
            </w:r>
          </w:p>
          <w:p>
            <w:pPr>
              <w:jc w:val="both"/>
            </w:pPr>
            <w:r>
              <w:rPr>
                <w:sz w:val="21"/>
              </w:rPr>
              <w:t>(</w:t>
            </w:r>
            <w:r>
              <w:rPr>
                <w:sz w:val="21"/>
              </w:rPr>
              <w:t>0</w:t>
            </w:r>
            <w:r>
              <w:rPr>
                <w:sz w:val="21"/>
              </w:rPr>
              <w:t>~</w:t>
            </w:r>
            <w:r>
              <w:rPr>
                <w:sz w:val="21"/>
              </w:rPr>
              <w:t>500</w:t>
            </w:r>
            <w:r>
              <w:rPr>
                <w:sz w:val="21"/>
              </w:rPr>
              <w:t>）</w:t>
            </w:r>
            <w:r>
              <w:rPr>
                <w:sz w:val="21"/>
              </w:rPr>
              <w:t>mR/h或</w:t>
            </w:r>
            <w:r>
              <w:rPr>
                <w:sz w:val="21"/>
              </w:rPr>
              <w:t>(</w:t>
            </w:r>
            <w:r>
              <w:rPr>
                <w:sz w:val="21"/>
              </w:rPr>
              <w:t>0</w:t>
            </w:r>
            <w:r>
              <w:rPr>
                <w:sz w:val="21"/>
              </w:rPr>
              <w:t>~</w:t>
            </w:r>
            <w:r>
              <w:rPr>
                <w:sz w:val="21"/>
              </w:rPr>
              <w:t>5</w:t>
            </w:r>
            <w:r>
              <w:rPr>
                <w:sz w:val="21"/>
              </w:rPr>
              <w:t>）</w:t>
            </w:r>
            <w:r>
              <w:rPr>
                <w:sz w:val="21"/>
              </w:rPr>
              <w:t>mSv/h</w:t>
            </w:r>
            <w:r>
              <w:rPr>
                <w:sz w:val="21"/>
              </w:rPr>
              <w:t>:</w:t>
            </w:r>
            <w:r>
              <w:rPr>
                <w:sz w:val="21"/>
              </w:rPr>
              <w:t>2</w:t>
            </w:r>
            <w:r>
              <w:rPr>
                <w:sz w:val="21"/>
              </w:rPr>
              <w:t>s</w:t>
            </w:r>
          </w:p>
          <w:p>
            <w:pPr>
              <w:jc w:val="both"/>
            </w:pPr>
            <w:r>
              <w:rPr>
                <w:sz w:val="21"/>
              </w:rPr>
              <w:t>(</w:t>
            </w:r>
            <w:r>
              <w:rPr>
                <w:sz w:val="21"/>
              </w:rPr>
              <w:t>0</w:t>
            </w:r>
            <w:r>
              <w:rPr>
                <w:sz w:val="21"/>
              </w:rPr>
              <w:t>~</w:t>
            </w:r>
            <w:r>
              <w:rPr>
                <w:sz w:val="21"/>
              </w:rPr>
              <w:t>5</w:t>
            </w:r>
            <w:r>
              <w:rPr>
                <w:sz w:val="21"/>
              </w:rPr>
              <w:t>）</w:t>
            </w:r>
            <w:r>
              <w:rPr>
                <w:sz w:val="21"/>
              </w:rPr>
              <w:t>R/h或</w:t>
            </w:r>
            <w:r>
              <w:rPr>
                <w:sz w:val="21"/>
              </w:rPr>
              <w:t>(</w:t>
            </w:r>
            <w:r>
              <w:rPr>
                <w:sz w:val="21"/>
              </w:rPr>
              <w:t>0</w:t>
            </w:r>
            <w:r>
              <w:rPr>
                <w:sz w:val="21"/>
              </w:rPr>
              <w:t>~</w:t>
            </w:r>
            <w:r>
              <w:rPr>
                <w:sz w:val="21"/>
              </w:rPr>
              <w:t>50</w:t>
            </w:r>
            <w:r>
              <w:rPr>
                <w:sz w:val="21"/>
              </w:rPr>
              <w:t>）</w:t>
            </w:r>
            <w:r>
              <w:rPr>
                <w:sz w:val="21"/>
              </w:rPr>
              <w:t>mSv/h</w:t>
            </w:r>
            <w:r>
              <w:rPr>
                <w:sz w:val="21"/>
              </w:rPr>
              <w:t>:</w:t>
            </w:r>
            <w:r>
              <w:rPr>
                <w:sz w:val="21"/>
              </w:rPr>
              <w:t>2</w:t>
            </w:r>
            <w:r>
              <w:rPr>
                <w:sz w:val="21"/>
              </w:rPr>
              <w:t>s</w:t>
            </w:r>
          </w:p>
          <w:p>
            <w:r>
              <w:rPr>
                <w:sz w:val="21"/>
              </w:rPr>
              <w:t>(</w:t>
            </w:r>
            <w:r>
              <w:rPr>
                <w:sz w:val="21"/>
              </w:rPr>
              <w:t>0</w:t>
            </w:r>
            <w:r>
              <w:rPr>
                <w:sz w:val="21"/>
              </w:rPr>
              <w:t>~</w:t>
            </w:r>
            <w:r>
              <w:rPr>
                <w:sz w:val="21"/>
              </w:rPr>
              <w:t>50</w:t>
            </w:r>
            <w:r>
              <w:rPr>
                <w:sz w:val="21"/>
              </w:rPr>
              <w:t>）</w:t>
            </w:r>
            <w:r>
              <w:rPr>
                <w:sz w:val="21"/>
              </w:rPr>
              <w:t>R/h或</w:t>
            </w:r>
            <w:r>
              <w:rPr>
                <w:sz w:val="21"/>
              </w:rPr>
              <w:t>(</w:t>
            </w:r>
            <w:r>
              <w:rPr>
                <w:sz w:val="21"/>
              </w:rPr>
              <w:t>0</w:t>
            </w:r>
            <w:r>
              <w:rPr>
                <w:sz w:val="21"/>
              </w:rPr>
              <w:t>~</w:t>
            </w:r>
            <w:r>
              <w:rPr>
                <w:sz w:val="21"/>
              </w:rPr>
              <w:t>500</w:t>
            </w:r>
            <w:r>
              <w:rPr>
                <w:sz w:val="21"/>
              </w:rPr>
              <w:t>）</w:t>
            </w:r>
            <w:r>
              <w:rPr>
                <w:sz w:val="21"/>
              </w:rPr>
              <w:t>mSv/h</w:t>
            </w:r>
            <w:r>
              <w:rPr>
                <w:sz w:val="21"/>
              </w:rPr>
              <w:t>:</w:t>
            </w:r>
            <w:r>
              <w:rPr>
                <w:sz w:val="21"/>
              </w:rPr>
              <w:t>2</w:t>
            </w:r>
            <w:r>
              <w:rPr>
                <w:sz w:val="21"/>
              </w:rPr>
              <w:t>s</w:t>
            </w:r>
          </w:p>
        </w:tc>
      </w:tr>
      <w:tr>
        <w:tc>
          <w:tcPr>
            <w:tcW w:type="dxa" w:w="2076"/>
          </w:tcPr>
          <w:p/>
        </w:tc>
        <w:tc>
          <w:tcPr>
            <w:tcW w:type="dxa" w:w="415"/>
          </w:tcPr>
          <w:p>
            <w:r>
              <w:rPr/>
              <w:t>6</w:t>
            </w:r>
          </w:p>
        </w:tc>
        <w:tc>
          <w:tcPr>
            <w:tcW w:type="dxa" w:w="5814"/>
          </w:tcPr>
          <w:p>
            <w:r>
              <w:rPr>
                <w:sz w:val="21"/>
              </w:rPr>
              <w:t>5.</w:t>
            </w:r>
            <w:r>
              <w:rPr>
                <w:sz w:val="21"/>
              </w:rPr>
              <w:t>操控及自动特性</w:t>
            </w:r>
            <w:r>
              <w:rPr>
                <w:sz w:val="21"/>
              </w:rPr>
              <w:t>应包括</w:t>
            </w:r>
            <w:r>
              <w:rPr>
                <w:sz w:val="21"/>
              </w:rPr>
              <w:t>：</w:t>
            </w:r>
            <w:r>
              <w:rPr>
                <w:sz w:val="21"/>
              </w:rPr>
              <w:t>开机</w:t>
            </w:r>
            <w:r>
              <w:rPr>
                <w:sz w:val="21"/>
              </w:rPr>
              <w:t>/关机</w:t>
            </w:r>
            <w:r>
              <w:rPr>
                <w:sz w:val="21"/>
              </w:rPr>
              <w:t>、</w:t>
            </w:r>
            <w:r>
              <w:rPr>
                <w:sz w:val="21"/>
              </w:rPr>
              <w:t>模式</w:t>
            </w:r>
            <w:r>
              <w:rPr>
                <w:sz w:val="21"/>
              </w:rPr>
              <w:t>、</w:t>
            </w:r>
            <w:r>
              <w:rPr>
                <w:sz w:val="21"/>
              </w:rPr>
              <w:t>动清零、自动量程及自动点亮背景灯</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便携音响设备声级测试系统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
            <w:pPr>
              <w:jc w:val="left"/>
            </w:pPr>
            <w:r>
              <w:rPr>
                <w:sz w:val="21"/>
              </w:rPr>
              <w:t>一、</w:t>
            </w:r>
            <w:r>
              <w:rPr>
                <w:sz w:val="21"/>
              </w:rPr>
              <w:t>满足标准：</w:t>
            </w:r>
          </w:p>
          <w:p>
            <w:r>
              <w:rPr>
                <w:sz w:val="21"/>
              </w:rPr>
              <w:t>符合</w:t>
            </w:r>
            <w:r>
              <w:rPr>
                <w:sz w:val="21"/>
              </w:rPr>
              <w:t>EN 50332-1、EN 50332-2、EN 50332-3</w:t>
            </w:r>
            <w:r>
              <w:rPr>
                <w:sz w:val="21"/>
              </w:rPr>
              <w:t>、</w:t>
            </w:r>
            <w:r>
              <w:rPr>
                <w:sz w:val="21"/>
              </w:rPr>
              <w:t>I</w:t>
            </w:r>
            <w:r>
              <w:rPr>
                <w:sz w:val="21"/>
              </w:rPr>
              <w:t>EC</w:t>
            </w:r>
            <w:r>
              <w:rPr>
                <w:sz w:val="21"/>
              </w:rPr>
              <w:t xml:space="preserve"> </w:t>
            </w:r>
            <w:r>
              <w:rPr>
                <w:sz w:val="21"/>
              </w:rPr>
              <w:t>62368-1</w:t>
            </w:r>
            <w:r>
              <w:rPr>
                <w:sz w:val="21"/>
              </w:rPr>
              <w:t>、</w:t>
            </w:r>
            <w:r>
              <w:rPr>
                <w:sz w:val="21"/>
              </w:rPr>
              <w:t>GB</w:t>
            </w:r>
            <w:r>
              <w:rPr>
                <w:sz w:val="21"/>
              </w:rPr>
              <w:t xml:space="preserve"> </w:t>
            </w:r>
            <w:r>
              <w:rPr>
                <w:sz w:val="21"/>
              </w:rPr>
              <w:t>4943</w:t>
            </w:r>
            <w:r>
              <w:rPr>
                <w:sz w:val="21"/>
              </w:rPr>
              <w:t>.</w:t>
            </w:r>
            <w:r>
              <w:rPr>
                <w:sz w:val="21"/>
              </w:rPr>
              <w:t>1-2022</w:t>
            </w:r>
            <w:r>
              <w:rPr>
                <w:sz w:val="21"/>
              </w:rPr>
              <w:t>、</w:t>
            </w:r>
            <w:r>
              <w:rPr>
                <w:sz w:val="21"/>
              </w:rPr>
              <w:t>IEC: 60318-4</w:t>
            </w:r>
            <w:r>
              <w:rPr>
                <w:sz w:val="21"/>
              </w:rPr>
              <w:t>、</w:t>
            </w:r>
            <w:r>
              <w:rPr>
                <w:sz w:val="21"/>
              </w:rPr>
              <w:t>60318-7</w:t>
            </w:r>
            <w:r>
              <w:rPr>
                <w:sz w:val="21"/>
              </w:rPr>
              <w:t>、</w:t>
            </w:r>
            <w:r>
              <w:rPr>
                <w:sz w:val="21"/>
              </w:rPr>
              <w:t>ITU-T Rec. P.57 Type 3.3</w:t>
            </w:r>
            <w:r>
              <w:rPr>
                <w:sz w:val="21"/>
              </w:rPr>
              <w:t>、</w:t>
            </w:r>
            <w:r>
              <w:rPr>
                <w:sz w:val="21"/>
              </w:rPr>
              <w:t xml:space="preserve"> ITU-T Rec.P.58</w:t>
            </w:r>
            <w:r>
              <w:rPr>
                <w:sz w:val="21"/>
              </w:rPr>
              <w:t>等标准的要求</w:t>
            </w:r>
          </w:p>
          <w:p/>
        </w:tc>
      </w:tr>
      <w:tr>
        <w:tc>
          <w:tcPr>
            <w:tcW w:type="dxa" w:w="2076"/>
          </w:tcPr>
          <w:p>
            <w:r>
              <w:rPr/>
              <w:t>▲</w:t>
            </w:r>
          </w:p>
        </w:tc>
        <w:tc>
          <w:tcPr>
            <w:tcW w:type="dxa" w:w="415"/>
          </w:tcPr>
          <w:p>
            <w:r>
              <w:rPr/>
              <w:t>2</w:t>
            </w:r>
          </w:p>
        </w:tc>
        <w:tc>
          <w:tcPr>
            <w:tcW w:type="dxa" w:w="5814"/>
          </w:tcPr>
          <w:p>
            <w:pPr>
              <w:jc w:val="left"/>
            </w:pPr>
            <w:r>
              <w:rPr>
                <w:sz w:val="21"/>
              </w:rPr>
              <w:t>二、主要技术参数：</w:t>
            </w:r>
          </w:p>
          <w:p>
            <w:r>
              <w:rPr>
                <w:sz w:val="21"/>
              </w:rPr>
              <w:t>1.声学测试模块平台：应可实现检测耳机及麦克风频响曲线、失真曲线、灵敏度、阻抗曲线、</w:t>
            </w:r>
            <w:r>
              <w:rPr>
                <w:sz w:val="21"/>
              </w:rPr>
              <w:t>ACZ</w:t>
            </w:r>
            <w:r>
              <w:rPr>
                <w:sz w:val="21"/>
              </w:rPr>
              <w:t>、极性、相位曲线、延时、异常音、感知音等相关特性；具有模拟万用表</w:t>
            </w:r>
            <w:r>
              <w:rPr>
                <w:sz w:val="21"/>
              </w:rPr>
              <w:t>/信号发生器，F</w:t>
            </w:r>
            <w:r>
              <w:rPr>
                <w:sz w:val="21"/>
              </w:rPr>
              <w:t>FT,RTA</w:t>
            </w:r>
            <w:r>
              <w:rPr>
                <w:sz w:val="21"/>
              </w:rPr>
              <w:t>功能；可按</w:t>
            </w:r>
            <w:r>
              <w:rPr>
                <w:sz w:val="21"/>
              </w:rPr>
              <w:t>GB 4943.1-2022的要求进行自动RS1\RS2\RS3分级</w:t>
            </w:r>
          </w:p>
        </w:tc>
      </w:tr>
      <w:tr>
        <w:tc>
          <w:tcPr>
            <w:tcW w:type="dxa" w:w="2076"/>
          </w:tcPr>
          <w:p>
            <w:r>
              <w:rPr/>
              <w:t>▲</w:t>
            </w:r>
          </w:p>
        </w:tc>
        <w:tc>
          <w:tcPr>
            <w:tcW w:type="dxa" w:w="415"/>
          </w:tcPr>
          <w:p>
            <w:r>
              <w:rPr/>
              <w:t>3</w:t>
            </w:r>
          </w:p>
        </w:tc>
        <w:tc>
          <w:tcPr>
            <w:tcW w:type="dxa" w:w="5814"/>
          </w:tcPr>
          <w:p>
            <w:r>
              <w:rPr>
                <w:sz w:val="21"/>
              </w:rPr>
              <w:t>2.人头躯干模拟器：至少</w:t>
            </w:r>
            <w:r>
              <w:rPr>
                <w:sz w:val="21"/>
              </w:rPr>
              <w:t>包含头和躯干、耳廓模拟器、</w:t>
            </w:r>
            <w:r>
              <w:rPr>
                <w:sz w:val="21"/>
              </w:rPr>
              <w:t>左右耳及软耳朵和仿真人嘴</w:t>
            </w:r>
            <w:r>
              <w:rPr>
                <w:sz w:val="21"/>
              </w:rPr>
              <w:t>；尺寸应符合</w:t>
            </w:r>
            <w:r>
              <w:rPr>
                <w:sz w:val="21"/>
              </w:rPr>
              <w:t>IEC 60318-7:2022</w:t>
            </w:r>
            <w:r>
              <w:rPr>
                <w:sz w:val="21"/>
              </w:rPr>
              <w:t>表</w:t>
            </w:r>
            <w:r>
              <w:rPr>
                <w:sz w:val="21"/>
              </w:rPr>
              <w:t>1</w:t>
            </w:r>
            <w:r>
              <w:rPr>
                <w:sz w:val="21"/>
              </w:rPr>
              <w:t>、表</w:t>
            </w:r>
            <w:r>
              <w:rPr>
                <w:sz w:val="21"/>
              </w:rPr>
              <w:t>2</w:t>
            </w:r>
            <w:r>
              <w:rPr>
                <w:sz w:val="21"/>
              </w:rPr>
              <w:t>和表</w:t>
            </w:r>
            <w:r>
              <w:rPr>
                <w:sz w:val="21"/>
              </w:rPr>
              <w:t>3</w:t>
            </w:r>
            <w:r>
              <w:rPr>
                <w:sz w:val="21"/>
              </w:rPr>
              <w:t>的要求；材料应符合</w:t>
            </w:r>
            <w:r>
              <w:rPr>
                <w:sz w:val="21"/>
              </w:rPr>
              <w:t>IEC 60318-7:2022</w:t>
            </w:r>
            <w:r>
              <w:rPr>
                <w:sz w:val="21"/>
              </w:rPr>
              <w:t>中</w:t>
            </w:r>
            <w:r>
              <w:rPr>
                <w:sz w:val="21"/>
              </w:rPr>
              <w:t>4.2.5</w:t>
            </w:r>
            <w:r>
              <w:rPr>
                <w:sz w:val="21"/>
              </w:rPr>
              <w:t>要求；声学特性应符合</w:t>
            </w:r>
            <w:r>
              <w:rPr>
                <w:sz w:val="21"/>
              </w:rPr>
              <w:t>IEC 60318-7:2022</w:t>
            </w:r>
            <w:r>
              <w:rPr>
                <w:sz w:val="21"/>
              </w:rPr>
              <w:t>表</w:t>
            </w:r>
            <w:r>
              <w:rPr>
                <w:sz w:val="21"/>
              </w:rPr>
              <w:t>4</w:t>
            </w:r>
            <w:r>
              <w:rPr>
                <w:sz w:val="21"/>
              </w:rPr>
              <w:t>、表</w:t>
            </w:r>
            <w:r>
              <w:rPr>
                <w:sz w:val="21"/>
              </w:rPr>
              <w:t>5</w:t>
            </w:r>
            <w:r>
              <w:rPr>
                <w:sz w:val="21"/>
              </w:rPr>
              <w:t>和表</w:t>
            </w:r>
            <w:r>
              <w:rPr>
                <w:sz w:val="21"/>
              </w:rPr>
              <w:t>6</w:t>
            </w:r>
            <w:r>
              <w:rPr>
                <w:sz w:val="21"/>
              </w:rPr>
              <w:t>的要求；具有</w:t>
            </w:r>
            <w:r>
              <w:rPr>
                <w:sz w:val="21"/>
              </w:rPr>
              <w:t>I</w:t>
            </w:r>
            <w:r>
              <w:rPr>
                <w:sz w:val="21"/>
              </w:rPr>
              <w:t>CP</w:t>
            </w:r>
            <w:r>
              <w:rPr>
                <w:sz w:val="21"/>
              </w:rPr>
              <w:t>供电方式，</w:t>
            </w:r>
            <w:r>
              <w:rPr>
                <w:sz w:val="21"/>
              </w:rPr>
              <w:t>B</w:t>
            </w:r>
            <w:r>
              <w:rPr>
                <w:sz w:val="21"/>
              </w:rPr>
              <w:t>NC</w:t>
            </w:r>
            <w:r>
              <w:rPr>
                <w:sz w:val="21"/>
              </w:rPr>
              <w:t>接口</w:t>
            </w:r>
          </w:p>
        </w:tc>
      </w:tr>
      <w:tr>
        <w:tc>
          <w:tcPr>
            <w:tcW w:type="dxa" w:w="2076"/>
          </w:tcPr>
          <w:p>
            <w:r>
              <w:rPr/>
              <w:t>▲</w:t>
            </w:r>
          </w:p>
        </w:tc>
        <w:tc>
          <w:tcPr>
            <w:tcW w:type="dxa" w:w="415"/>
          </w:tcPr>
          <w:p>
            <w:r>
              <w:rPr/>
              <w:t>4</w:t>
            </w:r>
          </w:p>
        </w:tc>
        <w:tc>
          <w:tcPr>
            <w:tcW w:type="dxa" w:w="5814"/>
          </w:tcPr>
          <w:p>
            <w:r>
              <w:rPr>
                <w:sz w:val="21"/>
              </w:rPr>
              <w:t>3.仿真人左右耳：</w:t>
            </w:r>
            <w:r>
              <w:rPr>
                <w:sz w:val="21"/>
              </w:rPr>
              <w:t>符合</w:t>
            </w:r>
            <w:r>
              <w:rPr>
                <w:sz w:val="21"/>
              </w:rPr>
              <w:t>IEC 60318-4:2010</w:t>
            </w:r>
            <w:r>
              <w:rPr>
                <w:sz w:val="21"/>
              </w:rPr>
              <w:t>的要求，</w:t>
            </w:r>
            <w:r>
              <w:rPr>
                <w:sz w:val="21"/>
              </w:rPr>
              <w:t>频宽至少：</w:t>
            </w:r>
            <w:r>
              <w:rPr>
                <w:sz w:val="21"/>
              </w:rPr>
              <w:t>2</w:t>
            </w:r>
            <w:r>
              <w:rPr>
                <w:sz w:val="21"/>
              </w:rPr>
              <w:t>0H</w:t>
            </w:r>
            <w:r>
              <w:rPr>
                <w:sz w:val="21"/>
              </w:rPr>
              <w:t>z -</w:t>
            </w:r>
            <w:r>
              <w:rPr>
                <w:sz w:val="21"/>
              </w:rPr>
              <w:t>20000H</w:t>
            </w:r>
            <w:r>
              <w:rPr>
                <w:sz w:val="21"/>
              </w:rPr>
              <w:t>z；灵敏度不劣于：1</w:t>
            </w:r>
            <w:r>
              <w:rPr>
                <w:sz w:val="21"/>
              </w:rPr>
              <w:t>2.5</w:t>
            </w:r>
            <w:r>
              <w:rPr>
                <w:sz w:val="21"/>
              </w:rPr>
              <w:t>mV/Pa</w:t>
            </w:r>
            <w:r>
              <w:rPr>
                <w:sz w:val="21"/>
              </w:rPr>
              <w:t>；动态范围至少：</w:t>
            </w:r>
            <w:r>
              <w:rPr>
                <w:sz w:val="21"/>
              </w:rPr>
              <w:t>2</w:t>
            </w:r>
            <w:r>
              <w:rPr>
                <w:sz w:val="21"/>
              </w:rPr>
              <w:t>0</w:t>
            </w:r>
            <w:r>
              <w:rPr>
                <w:sz w:val="21"/>
              </w:rPr>
              <w:t>d</w:t>
            </w:r>
            <w:r>
              <w:rPr>
                <w:sz w:val="21"/>
              </w:rPr>
              <w:t>B</w:t>
            </w:r>
            <w:r>
              <w:rPr>
                <w:sz w:val="21"/>
              </w:rPr>
              <w:t xml:space="preserve"> </w:t>
            </w:r>
            <w:r>
              <w:rPr>
                <w:sz w:val="21"/>
              </w:rPr>
              <w:t>-</w:t>
            </w:r>
            <w:r>
              <w:rPr>
                <w:sz w:val="21"/>
              </w:rPr>
              <w:t>160</w:t>
            </w:r>
            <w:r>
              <w:rPr>
                <w:sz w:val="21"/>
              </w:rPr>
              <w:t>d</w:t>
            </w:r>
            <w:r>
              <w:rPr>
                <w:sz w:val="21"/>
              </w:rPr>
              <w:t>B</w:t>
            </w:r>
            <w:r>
              <w:rPr>
                <w:sz w:val="21"/>
              </w:rPr>
              <w:t>；本底：</w:t>
            </w:r>
            <w:r>
              <w:rPr>
                <w:sz w:val="21"/>
              </w:rPr>
              <w:t>≤2</w:t>
            </w:r>
            <w:r>
              <w:rPr>
                <w:sz w:val="21"/>
              </w:rPr>
              <w:t>0</w:t>
            </w:r>
            <w:r>
              <w:rPr>
                <w:sz w:val="21"/>
              </w:rPr>
              <w:t>d</w:t>
            </w:r>
            <w:r>
              <w:rPr>
                <w:sz w:val="21"/>
              </w:rPr>
              <w:t>BA</w:t>
            </w:r>
            <w:r>
              <w:rPr>
                <w:sz w:val="21"/>
              </w:rPr>
              <w:t>；</w:t>
            </w:r>
            <w:r>
              <w:rPr>
                <w:sz w:val="21"/>
              </w:rPr>
              <w:t>频率范围（</w:t>
            </w:r>
            <w:r>
              <w:rPr>
                <w:sz w:val="21"/>
              </w:rPr>
              <w:t>±1 dB)</w:t>
            </w:r>
            <w:r>
              <w:rPr>
                <w:sz w:val="21"/>
              </w:rPr>
              <w:t>至少：</w:t>
            </w:r>
            <w:r>
              <w:rPr>
                <w:sz w:val="21"/>
              </w:rPr>
              <w:t>5 H</w:t>
            </w:r>
            <w:r>
              <w:rPr>
                <w:sz w:val="21"/>
              </w:rPr>
              <w:t>z-</w:t>
            </w:r>
            <w:r>
              <w:rPr>
                <w:sz w:val="21"/>
              </w:rPr>
              <w:t>12.5</w:t>
            </w:r>
            <w:r>
              <w:rPr>
                <w:sz w:val="21"/>
              </w:rPr>
              <w:t>kHz；</w:t>
            </w:r>
            <w:r>
              <w:rPr>
                <w:sz w:val="21"/>
              </w:rPr>
              <w:t>频率范围（</w:t>
            </w:r>
            <w:r>
              <w:rPr>
                <w:sz w:val="21"/>
              </w:rPr>
              <w:t>±2dB)</w:t>
            </w:r>
            <w:r>
              <w:rPr>
                <w:sz w:val="21"/>
              </w:rPr>
              <w:t>至少：</w:t>
            </w:r>
            <w:r>
              <w:rPr>
                <w:sz w:val="21"/>
              </w:rPr>
              <w:t>3</w:t>
            </w:r>
            <w:r>
              <w:rPr>
                <w:sz w:val="21"/>
              </w:rPr>
              <w:t>.</w:t>
            </w:r>
            <w:r>
              <w:rPr>
                <w:sz w:val="21"/>
              </w:rPr>
              <w:t>5H</w:t>
            </w:r>
            <w:r>
              <w:rPr>
                <w:sz w:val="21"/>
              </w:rPr>
              <w:t>z-</w:t>
            </w:r>
            <w:r>
              <w:rPr>
                <w:sz w:val="21"/>
              </w:rPr>
              <w:t>20</w:t>
            </w:r>
            <w:r>
              <w:rPr>
                <w:sz w:val="21"/>
              </w:rPr>
              <w:t>kHz</w:t>
            </w:r>
          </w:p>
        </w:tc>
      </w:tr>
      <w:tr>
        <w:tc>
          <w:tcPr>
            <w:tcW w:type="dxa" w:w="2076"/>
          </w:tcPr>
          <w:p>
            <w:r>
              <w:rPr/>
              <w:t>▲</w:t>
            </w:r>
          </w:p>
        </w:tc>
        <w:tc>
          <w:tcPr>
            <w:tcW w:type="dxa" w:w="415"/>
          </w:tcPr>
          <w:p>
            <w:r>
              <w:rPr/>
              <w:t>5</w:t>
            </w:r>
          </w:p>
        </w:tc>
        <w:tc>
          <w:tcPr>
            <w:tcW w:type="dxa" w:w="5814"/>
          </w:tcPr>
          <w:p>
            <w:r>
              <w:rPr>
                <w:sz w:val="21"/>
              </w:rPr>
              <w:t>4.仿真人嘴：频宽至少1</w:t>
            </w:r>
            <w:r>
              <w:rPr>
                <w:sz w:val="21"/>
              </w:rPr>
              <w:t>00H</w:t>
            </w:r>
            <w:r>
              <w:rPr>
                <w:sz w:val="21"/>
              </w:rPr>
              <w:t>z-</w:t>
            </w:r>
            <w:r>
              <w:rPr>
                <w:sz w:val="21"/>
              </w:rPr>
              <w:t>10</w:t>
            </w:r>
            <w:r>
              <w:rPr>
                <w:sz w:val="21"/>
              </w:rPr>
              <w:t>kHz；平坦度：不劣于1</w:t>
            </w:r>
            <w:r>
              <w:rPr>
                <w:sz w:val="21"/>
              </w:rPr>
              <w:t>5</w:t>
            </w:r>
            <w:r>
              <w:rPr>
                <w:sz w:val="21"/>
              </w:rPr>
              <w:t>d</w:t>
            </w:r>
            <w:r>
              <w:rPr>
                <w:sz w:val="21"/>
              </w:rPr>
              <w:t>B</w:t>
            </w:r>
            <w:r>
              <w:rPr>
                <w:sz w:val="21"/>
              </w:rPr>
              <w:t>；功率：</w:t>
            </w:r>
            <w:r>
              <w:rPr>
                <w:sz w:val="21"/>
              </w:rPr>
              <w:t>≥1</w:t>
            </w:r>
            <w:r>
              <w:rPr>
                <w:sz w:val="21"/>
              </w:rPr>
              <w:t>0W</w:t>
            </w:r>
            <w:r>
              <w:rPr>
                <w:sz w:val="21"/>
              </w:rPr>
              <w:t>（</w:t>
            </w:r>
            <w:r>
              <w:rPr>
                <w:sz w:val="21"/>
              </w:rPr>
              <w:t>8欧姆）；B</w:t>
            </w:r>
            <w:r>
              <w:rPr>
                <w:sz w:val="21"/>
              </w:rPr>
              <w:t>NC</w:t>
            </w:r>
            <w:r>
              <w:rPr>
                <w:sz w:val="21"/>
              </w:rPr>
              <w:t>接口</w:t>
            </w:r>
          </w:p>
        </w:tc>
      </w:tr>
      <w:tr>
        <w:tc>
          <w:tcPr>
            <w:tcW w:type="dxa" w:w="2076"/>
          </w:tcPr>
          <w:p>
            <w:r>
              <w:rPr/>
              <w:t>▲</w:t>
            </w:r>
          </w:p>
        </w:tc>
        <w:tc>
          <w:tcPr>
            <w:tcW w:type="dxa" w:w="415"/>
          </w:tcPr>
          <w:p>
            <w:r>
              <w:rPr/>
              <w:t>6</w:t>
            </w:r>
          </w:p>
        </w:tc>
        <w:tc>
          <w:tcPr>
            <w:tcW w:type="dxa" w:w="5814"/>
          </w:tcPr>
          <w:p>
            <w:r>
              <w:rPr>
                <w:sz w:val="21"/>
              </w:rPr>
              <w:t>5.标准传声器：用于校准仿真人头嘴，频宽至少：2</w:t>
            </w:r>
            <w:r>
              <w:rPr>
                <w:sz w:val="21"/>
              </w:rPr>
              <w:t>0H</w:t>
            </w:r>
            <w:r>
              <w:rPr>
                <w:sz w:val="21"/>
              </w:rPr>
              <w:t>z-</w:t>
            </w:r>
            <w:r>
              <w:rPr>
                <w:sz w:val="21"/>
              </w:rPr>
              <w:t>25000H</w:t>
            </w:r>
            <w:r>
              <w:rPr>
                <w:sz w:val="21"/>
              </w:rPr>
              <w:t>z；灵敏度不劣于：</w:t>
            </w:r>
            <w:r>
              <w:rPr>
                <w:sz w:val="21"/>
              </w:rPr>
              <w:t>1.45</w:t>
            </w:r>
            <w:r>
              <w:rPr>
                <w:sz w:val="21"/>
              </w:rPr>
              <w:t>mV/Pa</w:t>
            </w:r>
            <w:r>
              <w:rPr>
                <w:sz w:val="21"/>
              </w:rPr>
              <w:t>；动态范围至少：</w:t>
            </w:r>
            <w:r>
              <w:rPr>
                <w:sz w:val="21"/>
              </w:rPr>
              <w:t>30</w:t>
            </w:r>
            <w:r>
              <w:rPr>
                <w:sz w:val="21"/>
              </w:rPr>
              <w:t xml:space="preserve"> </w:t>
            </w:r>
            <w:r>
              <w:rPr>
                <w:sz w:val="21"/>
              </w:rPr>
              <w:t>d</w:t>
            </w:r>
            <w:r>
              <w:rPr>
                <w:sz w:val="21"/>
              </w:rPr>
              <w:t>B</w:t>
            </w:r>
            <w:r>
              <w:rPr>
                <w:sz w:val="21"/>
              </w:rPr>
              <w:t xml:space="preserve"> </w:t>
            </w:r>
            <w:r>
              <w:rPr>
                <w:sz w:val="21"/>
              </w:rPr>
              <w:t>-</w:t>
            </w:r>
            <w:r>
              <w:rPr>
                <w:sz w:val="21"/>
              </w:rPr>
              <w:t>168</w:t>
            </w:r>
            <w:r>
              <w:rPr>
                <w:sz w:val="21"/>
              </w:rPr>
              <w:t>d</w:t>
            </w:r>
            <w:r>
              <w:rPr>
                <w:sz w:val="21"/>
              </w:rPr>
              <w:t>B</w:t>
            </w:r>
            <w:r>
              <w:rPr>
                <w:sz w:val="21"/>
              </w:rPr>
              <w:t>；本底：</w:t>
            </w:r>
            <w:r>
              <w:rPr>
                <w:sz w:val="21"/>
              </w:rPr>
              <w:t>≤</w:t>
            </w:r>
            <w:r>
              <w:rPr>
                <w:sz w:val="21"/>
              </w:rPr>
              <w:t>40</w:t>
            </w:r>
            <w:r>
              <w:rPr>
                <w:sz w:val="21"/>
              </w:rPr>
              <w:t>d</w:t>
            </w:r>
            <w:r>
              <w:rPr>
                <w:sz w:val="21"/>
              </w:rPr>
              <w:t>BA</w:t>
            </w:r>
            <w:r>
              <w:rPr>
                <w:sz w:val="21"/>
              </w:rPr>
              <w:t>；</w:t>
            </w:r>
            <w:r>
              <w:rPr>
                <w:sz w:val="21"/>
              </w:rPr>
              <w:t>频率范围（</w:t>
            </w:r>
            <w:r>
              <w:rPr>
                <w:sz w:val="21"/>
              </w:rPr>
              <w:t>±1 dB)</w:t>
            </w:r>
            <w:r>
              <w:rPr>
                <w:sz w:val="21"/>
              </w:rPr>
              <w:t>：</w:t>
            </w:r>
            <w:r>
              <w:rPr>
                <w:sz w:val="21"/>
              </w:rPr>
              <w:t>10</w:t>
            </w:r>
            <w:r>
              <w:rPr>
                <w:sz w:val="21"/>
              </w:rPr>
              <w:t>H</w:t>
            </w:r>
            <w:r>
              <w:rPr>
                <w:sz w:val="21"/>
              </w:rPr>
              <w:t>z</w:t>
            </w:r>
            <w:r>
              <w:rPr>
                <w:sz w:val="21"/>
              </w:rPr>
              <w:t xml:space="preserve"> </w:t>
            </w:r>
            <w:r>
              <w:rPr>
                <w:sz w:val="21"/>
              </w:rPr>
              <w:t>-</w:t>
            </w:r>
            <w:r>
              <w:rPr>
                <w:sz w:val="21"/>
              </w:rPr>
              <w:t>25</w:t>
            </w:r>
            <w:r>
              <w:rPr>
                <w:sz w:val="21"/>
              </w:rPr>
              <w:t>kHz；</w:t>
            </w:r>
            <w:r>
              <w:rPr>
                <w:sz w:val="21"/>
              </w:rPr>
              <w:t>频率范围（</w:t>
            </w:r>
            <w:r>
              <w:rPr>
                <w:sz w:val="21"/>
              </w:rPr>
              <w:t>±2dB)</w:t>
            </w:r>
            <w:r>
              <w:rPr>
                <w:sz w:val="21"/>
              </w:rPr>
              <w:t>：</w:t>
            </w:r>
            <w:r>
              <w:rPr>
                <w:sz w:val="21"/>
              </w:rPr>
              <w:t>5</w:t>
            </w:r>
            <w:r>
              <w:rPr>
                <w:sz w:val="21"/>
              </w:rPr>
              <w:t>H</w:t>
            </w:r>
            <w:r>
              <w:rPr>
                <w:sz w:val="21"/>
              </w:rPr>
              <w:t>z</w:t>
            </w:r>
            <w:r>
              <w:rPr>
                <w:sz w:val="21"/>
              </w:rPr>
              <w:t xml:space="preserve"> </w:t>
            </w:r>
            <w:r>
              <w:rPr>
                <w:sz w:val="21"/>
              </w:rPr>
              <w:t>-</w:t>
            </w:r>
            <w:r>
              <w:rPr>
                <w:sz w:val="21"/>
              </w:rPr>
              <w:t>70</w:t>
            </w:r>
            <w:r>
              <w:rPr>
                <w:sz w:val="21"/>
              </w:rPr>
              <w:t>kHz；I</w:t>
            </w:r>
            <w:r>
              <w:rPr>
                <w:sz w:val="21"/>
              </w:rPr>
              <w:t>CP</w:t>
            </w:r>
            <w:r>
              <w:rPr>
                <w:sz w:val="21"/>
              </w:rPr>
              <w:t>供电，</w:t>
            </w:r>
            <w:r>
              <w:rPr>
                <w:sz w:val="21"/>
              </w:rPr>
              <w:t>B</w:t>
            </w:r>
            <w:r>
              <w:rPr>
                <w:sz w:val="21"/>
              </w:rPr>
              <w:t>NC</w:t>
            </w:r>
            <w:r>
              <w:rPr>
                <w:sz w:val="21"/>
              </w:rPr>
              <w:t>接口</w:t>
            </w:r>
          </w:p>
        </w:tc>
      </w:tr>
      <w:tr>
        <w:tc>
          <w:tcPr>
            <w:tcW w:type="dxa" w:w="2076"/>
          </w:tcPr>
          <w:p/>
        </w:tc>
        <w:tc>
          <w:tcPr>
            <w:tcW w:type="dxa" w:w="415"/>
          </w:tcPr>
          <w:p>
            <w:r>
              <w:rPr/>
              <w:t>7</w:t>
            </w:r>
          </w:p>
        </w:tc>
        <w:tc>
          <w:tcPr>
            <w:tcW w:type="dxa" w:w="5814"/>
          </w:tcPr>
          <w:p>
            <w:r>
              <w:rPr>
                <w:sz w:val="21"/>
              </w:rPr>
              <w:t>6.声级校准器:</w:t>
            </w:r>
            <w:r>
              <w:rPr>
                <w:sz w:val="21"/>
              </w:rPr>
              <w:t xml:space="preserve"> 94</w:t>
            </w:r>
            <w:r>
              <w:rPr>
                <w:sz w:val="21"/>
              </w:rPr>
              <w:t>d</w:t>
            </w:r>
            <w:r>
              <w:rPr>
                <w:sz w:val="21"/>
              </w:rPr>
              <w:t>B(±0.2dB)</w:t>
            </w:r>
            <w:r>
              <w:rPr>
                <w:sz w:val="21"/>
              </w:rPr>
              <w:t>及</w:t>
            </w:r>
            <w:r>
              <w:rPr>
                <w:sz w:val="21"/>
              </w:rPr>
              <w:t>114dB(±0.2 dB)</w:t>
            </w:r>
            <w:r>
              <w:rPr>
                <w:sz w:val="21"/>
              </w:rPr>
              <w:t>；频率：</w:t>
            </w:r>
            <w:r>
              <w:rPr>
                <w:sz w:val="21"/>
              </w:rPr>
              <w:t>250Hz(251.19Hz±0.30Hz)or 1kHz(1000Hz±1Hz)</w:t>
            </w:r>
            <w:r>
              <w:rPr>
                <w:sz w:val="21"/>
              </w:rPr>
              <w:t>；精度：符合</w:t>
            </w:r>
            <w:r>
              <w:rPr>
                <w:sz w:val="21"/>
              </w:rPr>
              <w:t>IEC 60942</w:t>
            </w:r>
            <w:r>
              <w:rPr>
                <w:sz w:val="21"/>
              </w:rPr>
              <w:t xml:space="preserve"> </w:t>
            </w:r>
            <w:r>
              <w:rPr>
                <w:sz w:val="21"/>
              </w:rPr>
              <w:t>Class 1.</w:t>
            </w:r>
          </w:p>
        </w:tc>
      </w:tr>
      <w:tr>
        <w:tc>
          <w:tcPr>
            <w:tcW w:type="dxa" w:w="2076"/>
          </w:tcPr>
          <w:p>
            <w:r>
              <w:rPr/>
              <w:t>▲</w:t>
            </w:r>
          </w:p>
        </w:tc>
        <w:tc>
          <w:tcPr>
            <w:tcW w:type="dxa" w:w="415"/>
          </w:tcPr>
          <w:p>
            <w:r>
              <w:rPr/>
              <w:t>8</w:t>
            </w:r>
          </w:p>
        </w:tc>
        <w:tc>
          <w:tcPr>
            <w:tcW w:type="dxa" w:w="5814"/>
          </w:tcPr>
          <w:p>
            <w:r>
              <w:rPr>
                <w:sz w:val="21"/>
              </w:rPr>
              <w:t>7.功率放大器：频宽：2</w:t>
            </w:r>
            <w:r>
              <w:rPr>
                <w:sz w:val="21"/>
              </w:rPr>
              <w:t>0H</w:t>
            </w:r>
            <w:r>
              <w:rPr>
                <w:sz w:val="21"/>
              </w:rPr>
              <w:t>z-</w:t>
            </w:r>
            <w:r>
              <w:rPr>
                <w:sz w:val="21"/>
              </w:rPr>
              <w:t>50</w:t>
            </w:r>
            <w:r>
              <w:rPr>
                <w:sz w:val="21"/>
              </w:rPr>
              <w:t>kHz</w:t>
            </w:r>
            <w:r>
              <w:rPr>
                <w:sz w:val="21"/>
              </w:rPr>
              <w:t>,</w:t>
            </w:r>
            <w:r>
              <w:rPr>
                <w:sz w:val="21"/>
              </w:rPr>
              <w:t>±0.5</w:t>
            </w:r>
            <w:r>
              <w:rPr>
                <w:sz w:val="21"/>
              </w:rPr>
              <w:t>d</w:t>
            </w:r>
            <w:r>
              <w:rPr>
                <w:sz w:val="21"/>
              </w:rPr>
              <w:t>B</w:t>
            </w:r>
            <w:r>
              <w:rPr>
                <w:sz w:val="21"/>
              </w:rPr>
              <w:t>/</w:t>
            </w:r>
            <w:r>
              <w:rPr>
                <w:sz w:val="21"/>
              </w:rPr>
              <w:t>1W,8</w:t>
            </w:r>
            <w:r>
              <w:rPr>
                <w:sz w:val="21"/>
              </w:rPr>
              <w:t>欧姆；功率：</w:t>
            </w:r>
            <w:r>
              <w:rPr>
                <w:sz w:val="21"/>
              </w:rPr>
              <w:t>2</w:t>
            </w:r>
            <w:r>
              <w:rPr>
                <w:sz w:val="21"/>
              </w:rPr>
              <w:t>0W</w:t>
            </w:r>
            <w:r>
              <w:rPr>
                <w:sz w:val="21"/>
              </w:rPr>
              <w:t>（</w:t>
            </w:r>
            <w:r>
              <w:rPr>
                <w:sz w:val="21"/>
              </w:rPr>
              <w:t>THD=0.0</w:t>
            </w:r>
            <w:r>
              <w:rPr>
                <w:sz w:val="21"/>
              </w:rPr>
              <w:t>8</w:t>
            </w:r>
            <w:r>
              <w:rPr>
                <w:sz w:val="21"/>
              </w:rPr>
              <w:t>%</w:t>
            </w:r>
            <w:r>
              <w:rPr>
                <w:sz w:val="21"/>
              </w:rPr>
              <w:t>条件下</w:t>
            </w:r>
            <w:r>
              <w:rPr>
                <w:sz w:val="21"/>
              </w:rPr>
              <w:t>）</w:t>
            </w:r>
            <w:r>
              <w:rPr>
                <w:sz w:val="21"/>
              </w:rPr>
              <w:t>；</w:t>
            </w:r>
            <w:r>
              <w:rPr>
                <w:sz w:val="21"/>
              </w:rPr>
              <w:t>带传声器、麦克风、阻抗测试电源供电。</w:t>
            </w:r>
          </w:p>
        </w:tc>
      </w:tr>
      <w:tr>
        <w:tc>
          <w:tcPr>
            <w:tcW w:type="dxa" w:w="2076"/>
          </w:tcPr>
          <w:p>
            <w:r>
              <w:rPr/>
              <w:t>▲</w:t>
            </w:r>
          </w:p>
        </w:tc>
        <w:tc>
          <w:tcPr>
            <w:tcW w:type="dxa" w:w="415"/>
          </w:tcPr>
          <w:p>
            <w:r>
              <w:rPr/>
              <w:t>9</w:t>
            </w:r>
          </w:p>
        </w:tc>
        <w:tc>
          <w:tcPr>
            <w:tcW w:type="dxa" w:w="5814"/>
          </w:tcPr>
          <w:p>
            <w:r>
              <w:rPr>
                <w:sz w:val="21"/>
              </w:rPr>
              <w:t>8.音频采集卡: U</w:t>
            </w:r>
            <w:r>
              <w:rPr>
                <w:sz w:val="21"/>
              </w:rPr>
              <w:t>SB</w:t>
            </w:r>
            <w:r>
              <w:rPr>
                <w:sz w:val="21"/>
              </w:rPr>
              <w:t>控制，模拟</w:t>
            </w:r>
            <w:r>
              <w:rPr>
                <w:sz w:val="21"/>
              </w:rPr>
              <w:t>8进8出；</w:t>
            </w:r>
            <w:r>
              <w:rPr>
                <w:sz w:val="21"/>
              </w:rPr>
              <w:t>内部采样频率应包含：</w:t>
            </w:r>
            <w:r>
              <w:rPr>
                <w:sz w:val="21"/>
              </w:rPr>
              <w:t>32kHz</w:t>
            </w:r>
            <w:r>
              <w:rPr>
                <w:sz w:val="21"/>
              </w:rPr>
              <w:t>、</w:t>
            </w:r>
            <w:r>
              <w:rPr>
                <w:sz w:val="21"/>
              </w:rPr>
              <w:t>44.1kHz</w:t>
            </w:r>
            <w:r>
              <w:rPr>
                <w:sz w:val="21"/>
              </w:rPr>
              <w:t>、</w:t>
            </w:r>
            <w:r>
              <w:rPr>
                <w:sz w:val="21"/>
              </w:rPr>
              <w:t>48kHz</w:t>
            </w:r>
            <w:r>
              <w:rPr>
                <w:sz w:val="21"/>
              </w:rPr>
              <w:t>、</w:t>
            </w:r>
            <w:r>
              <w:rPr>
                <w:sz w:val="21"/>
              </w:rPr>
              <w:t>64kHz</w:t>
            </w:r>
            <w:r>
              <w:rPr>
                <w:sz w:val="21"/>
              </w:rPr>
              <w:t>、</w:t>
            </w:r>
            <w:r>
              <w:rPr>
                <w:sz w:val="21"/>
              </w:rPr>
              <w:t>88.2kHz</w:t>
            </w:r>
            <w:r>
              <w:rPr>
                <w:sz w:val="21"/>
              </w:rPr>
              <w:t>、</w:t>
            </w:r>
            <w:r>
              <w:rPr>
                <w:sz w:val="21"/>
              </w:rPr>
              <w:t>96kHz</w:t>
            </w:r>
            <w:r>
              <w:rPr>
                <w:sz w:val="21"/>
              </w:rPr>
              <w:t>、</w:t>
            </w:r>
            <w:r>
              <w:rPr>
                <w:sz w:val="21"/>
              </w:rPr>
              <w:t>128kHz</w:t>
            </w:r>
            <w:r>
              <w:rPr>
                <w:sz w:val="21"/>
              </w:rPr>
              <w:t>、</w:t>
            </w:r>
            <w:r>
              <w:rPr>
                <w:sz w:val="21"/>
              </w:rPr>
              <w:t>176.4kHz</w:t>
            </w:r>
            <w:r>
              <w:rPr>
                <w:sz w:val="21"/>
              </w:rPr>
              <w:t>、</w:t>
            </w:r>
            <w:r>
              <w:rPr>
                <w:sz w:val="21"/>
              </w:rPr>
              <w:t>192kHz</w:t>
            </w:r>
            <w:r>
              <w:rPr>
                <w:sz w:val="21"/>
              </w:rPr>
              <w:t>；</w:t>
            </w:r>
            <w:r>
              <w:rPr>
                <w:sz w:val="21"/>
              </w:rPr>
              <w:t>模数</w:t>
            </w:r>
            <w:r>
              <w:rPr>
                <w:sz w:val="21"/>
              </w:rPr>
              <w:t>/</w:t>
            </w:r>
            <w:r>
              <w:rPr>
                <w:sz w:val="21"/>
              </w:rPr>
              <w:t>数模频率响应：</w:t>
            </w:r>
            <w:r>
              <w:rPr>
                <w:sz w:val="21"/>
              </w:rPr>
              <w:t>-1dB:</w:t>
            </w:r>
            <w:r>
              <w:rPr>
                <w:sz w:val="21"/>
              </w:rPr>
              <w:t>至少</w:t>
            </w:r>
            <w:r>
              <w:rPr>
                <w:sz w:val="21"/>
              </w:rPr>
              <w:t>1 Hz - 80 kHz (</w:t>
            </w:r>
            <w:r>
              <w:rPr>
                <w:sz w:val="21"/>
              </w:rPr>
              <w:t>采样频率</w:t>
            </w:r>
            <w:r>
              <w:rPr>
                <w:sz w:val="21"/>
              </w:rPr>
              <w:t>192kHz)</w:t>
            </w:r>
            <w:r>
              <w:rPr>
                <w:sz w:val="21"/>
              </w:rPr>
              <w:t>；模数转换动态范围至少：</w:t>
            </w:r>
            <w:r>
              <w:rPr>
                <w:sz w:val="21"/>
              </w:rPr>
              <w:t>110dB RMS</w:t>
            </w:r>
            <w:r>
              <w:rPr>
                <w:sz w:val="21"/>
              </w:rPr>
              <w:t>非加权，</w:t>
            </w:r>
            <w:r>
              <w:rPr>
                <w:sz w:val="21"/>
              </w:rPr>
              <w:t>113d</w:t>
            </w:r>
            <w:r>
              <w:rPr>
                <w:sz w:val="21"/>
              </w:rPr>
              <w:t>BA</w:t>
            </w:r>
            <w:r>
              <w:rPr>
                <w:sz w:val="21"/>
              </w:rPr>
              <w:t>。操作系统：支持</w:t>
            </w:r>
            <w:r>
              <w:rPr>
                <w:sz w:val="21"/>
              </w:rPr>
              <w:t>Win7</w:t>
            </w:r>
            <w:r>
              <w:rPr>
                <w:sz w:val="21"/>
              </w:rPr>
              <w:t>、</w:t>
            </w:r>
            <w:r>
              <w:rPr>
                <w:sz w:val="21"/>
              </w:rPr>
              <w:t>Win8</w:t>
            </w:r>
            <w:r>
              <w:rPr>
                <w:sz w:val="21"/>
              </w:rPr>
              <w:t>、</w:t>
            </w:r>
            <w:r>
              <w:rPr>
                <w:sz w:val="21"/>
              </w:rPr>
              <w:t>Win10</w:t>
            </w:r>
          </w:p>
        </w:tc>
      </w:tr>
      <w:tr>
        <w:tc>
          <w:tcPr>
            <w:tcW w:type="dxa" w:w="2076"/>
          </w:tcPr>
          <w:p/>
        </w:tc>
        <w:tc>
          <w:tcPr>
            <w:tcW w:type="dxa" w:w="415"/>
          </w:tcPr>
          <w:p>
            <w:r>
              <w:rPr/>
              <w:t>10</w:t>
            </w:r>
          </w:p>
        </w:tc>
        <w:tc>
          <w:tcPr>
            <w:tcW w:type="dxa" w:w="5814"/>
          </w:tcPr>
          <w:p>
            <w:r>
              <w:rPr>
                <w:sz w:val="21"/>
              </w:rPr>
              <w:t>9.</w:t>
            </w:r>
            <w:r>
              <w:rPr>
                <w:sz w:val="21"/>
              </w:rPr>
              <w:t>蓝牙连接器：应可自动连接配对，指令控制，自动完成测试；协议应包含：</w:t>
            </w:r>
            <w:r>
              <w:rPr>
                <w:sz w:val="21"/>
              </w:rPr>
              <w:t>S</w:t>
            </w:r>
            <w:r>
              <w:rPr>
                <w:sz w:val="21"/>
              </w:rPr>
              <w:t>BC,APTX</w:t>
            </w:r>
            <w:r>
              <w:rPr>
                <w:sz w:val="21"/>
              </w:rPr>
              <w:t>，状态测试应包含：</w:t>
            </w:r>
            <w:r>
              <w:rPr>
                <w:sz w:val="21"/>
              </w:rPr>
              <w:t>A</w:t>
            </w:r>
            <w:r>
              <w:rPr>
                <w:sz w:val="21"/>
              </w:rPr>
              <w:t>2DP,HFP</w:t>
            </w:r>
            <w:r>
              <w:rPr>
                <w:sz w:val="21"/>
              </w:rPr>
              <w:t>；带天线，</w:t>
            </w:r>
            <w:r>
              <w:rPr>
                <w:sz w:val="21"/>
              </w:rPr>
              <w:t>U</w:t>
            </w:r>
            <w:r>
              <w:rPr>
                <w:sz w:val="21"/>
              </w:rPr>
              <w:t>SB</w:t>
            </w:r>
            <w:r>
              <w:rPr>
                <w:sz w:val="21"/>
              </w:rPr>
              <w:t>接口控制；可显示</w:t>
            </w:r>
            <w:r>
              <w:rPr>
                <w:sz w:val="21"/>
              </w:rPr>
              <w:t>R</w:t>
            </w:r>
            <w:r>
              <w:rPr>
                <w:sz w:val="21"/>
              </w:rPr>
              <w:t>SSI,</w:t>
            </w:r>
            <w:r>
              <w:rPr>
                <w:sz w:val="21"/>
              </w:rPr>
              <w:t>名称，地址，音量，电量。</w:t>
            </w:r>
          </w:p>
        </w:tc>
      </w:tr>
      <w:tr>
        <w:tc>
          <w:tcPr>
            <w:tcW w:type="dxa" w:w="2076"/>
          </w:tcPr>
          <w:p/>
        </w:tc>
        <w:tc>
          <w:tcPr>
            <w:tcW w:type="dxa" w:w="415"/>
          </w:tcPr>
          <w:p>
            <w:r>
              <w:rPr/>
              <w:t>11</w:t>
            </w:r>
          </w:p>
        </w:tc>
        <w:tc>
          <w:tcPr>
            <w:tcW w:type="dxa" w:w="5814"/>
          </w:tcPr>
          <w:p>
            <w:r>
              <w:rPr>
                <w:sz w:val="21"/>
              </w:rPr>
              <w:t>10</w:t>
            </w:r>
            <w:r>
              <w:rPr>
                <w:sz w:val="21"/>
              </w:rPr>
              <w:t>.</w:t>
            </w:r>
            <w:r>
              <w:rPr>
                <w:sz w:val="21"/>
              </w:rPr>
              <w:t>工控主机：</w:t>
            </w:r>
            <w:r>
              <w:rPr>
                <w:sz w:val="21"/>
              </w:rPr>
              <w:t>I</w:t>
            </w:r>
            <w:r>
              <w:rPr>
                <w:sz w:val="21"/>
              </w:rPr>
              <w:t>7</w:t>
            </w:r>
            <w:r>
              <w:rPr>
                <w:sz w:val="21"/>
              </w:rPr>
              <w:t>以上</w:t>
            </w:r>
            <w:r>
              <w:rPr>
                <w:sz w:val="21"/>
              </w:rPr>
              <w:t>C</w:t>
            </w:r>
            <w:r>
              <w:rPr>
                <w:sz w:val="21"/>
              </w:rPr>
              <w:t>PU,</w:t>
            </w:r>
            <w:r>
              <w:rPr>
                <w:sz w:val="21"/>
              </w:rPr>
              <w:t>内存至少</w:t>
            </w:r>
            <w:r>
              <w:rPr>
                <w:sz w:val="21"/>
              </w:rPr>
              <w:t>3</w:t>
            </w:r>
            <w:r>
              <w:rPr>
                <w:sz w:val="21"/>
              </w:rPr>
              <w:t>2G</w:t>
            </w:r>
            <w:r>
              <w:rPr>
                <w:sz w:val="21"/>
              </w:rPr>
              <w:t>，硬盘至少</w:t>
            </w:r>
            <w:r>
              <w:rPr>
                <w:sz w:val="21"/>
              </w:rPr>
              <w:t>4</w:t>
            </w:r>
            <w:r>
              <w:rPr>
                <w:sz w:val="21"/>
              </w:rPr>
              <w:t>80</w:t>
            </w:r>
            <w:r>
              <w:rPr>
                <w:sz w:val="21"/>
              </w:rPr>
              <w:t>+</w:t>
            </w:r>
            <w:r>
              <w:rPr>
                <w:sz w:val="21"/>
              </w:rPr>
              <w:t>1T</w:t>
            </w:r>
            <w:r>
              <w:rPr>
                <w:sz w:val="21"/>
              </w:rPr>
              <w:t>，</w:t>
            </w:r>
            <w:r>
              <w:rPr>
                <w:sz w:val="21"/>
              </w:rPr>
              <w:t>数据显示设备</w:t>
            </w:r>
            <w:r>
              <w:rPr>
                <w:sz w:val="21"/>
              </w:rPr>
              <w:t>至少</w:t>
            </w:r>
            <w:r>
              <w:rPr>
                <w:sz w:val="21"/>
              </w:rPr>
              <w:t>3</w:t>
            </w:r>
            <w:r>
              <w:rPr>
                <w:sz w:val="21"/>
              </w:rPr>
              <w:t>2</w:t>
            </w:r>
            <w:r>
              <w:rPr>
                <w:sz w:val="21"/>
              </w:rPr>
              <w:t>寸，</w:t>
            </w:r>
            <w:r>
              <w:rPr>
                <w:sz w:val="21"/>
              </w:rPr>
              <w:t>操作系统：</w:t>
            </w:r>
            <w:r>
              <w:rPr>
                <w:sz w:val="21"/>
              </w:rPr>
              <w:t>Win10</w:t>
            </w:r>
            <w:r>
              <w:rPr>
                <w:sz w:val="21"/>
              </w:rPr>
              <w:t>以上</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佛山市质量计量监督检测中心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供应商须向采购代理机构缴纳招标代理服务费，按采购包独立计算，以中标/成交通知书中各采购包中标/成交金额作为招标代理服务费的计算基数。招标代理服务费收费采用差额定率累进法计算方式。按中华人民共和国国家发展计划委员会颁发的计价格[2002]1980号、国家发改委[2003]857号及发改价格2011534号文规定的“货物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1，本招标文件内要求的扫描件或复印件，可以是原件的扫描件，也可以是复印件的扫描件。扫描件性质上可视为复印件。</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采购包1(传导抗扰度测试仪)：综合评分法,是指投标文件满足招标文件全部实质性要求，且按照评审因素的量化指标评审得分最高的投标人为中标候选人的评标方法。（最低报价不是中标的唯一依据。）</w:t>
      </w:r>
    </w:p>
    <w:p/>
    <w:p>
      <w:r>
        <w:rPr/>
        <w:t>采购包2(电离辐射检测仪、便携音响设备声级测试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采购包1（传导抗扰度测试仪）：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采购包2（电离辐射检测仪、便携音响设备声级测试系统）：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采购包1（传导抗扰度测试仪）：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r>
        <w:rPr/>
        <w:t>采购包2（电离辐射检测仪、便携音响设备声级测试系统）：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pPr>
        <w:ind w:firstLine="480"/>
      </w:pPr>
      <w:r>
        <w:rPr/>
        <w:t>表二符合性审查表：</w:t>
      </w:r>
    </w:p>
    <w:p>
      <w:pPr>
        <w:ind w:firstLine="480"/>
      </w:pPr>
    </w:p>
    <w:p/>
    <w:p>
      <w:r>
        <w:rPr/>
        <w:t>采购包1（传导抗扰度测试仪）：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采购包2（电离辐射检测仪、便携音响设备声级测试系统）：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采购包1(传导抗扰度测试仪):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(40.0分)</w:t>
            </w:r>
          </w:p>
        </w:tc>
        <w:tc>
          <w:tcPr>
            <w:tcW w:type="dxa" w:w="5076"/>
          </w:tcPr>
          <w:p>
            <w:pPr>
              <w:jc w:val="left"/>
            </w:pPr>
            <w:r>
              <w:rPr/>
              <w:t>根据招标文件《第二章 采购需求》“技术标准与要求”中的指标响应程度进行评分：  1、带“▲”参数：无偏离或正偏离的,每满足一项得5分，本小项最高得35分； 2、不带“▲”或“★”参数：无偏离或正偏离的,每满足一项得0.5分，本小项最高5分；  3、本项最高得40分。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(6.0分)</w:t>
            </w:r>
            <w:r>
              <w:rPr/>
              <w:t>，（等次分值选择：</w:t>
            </w:r>
            <w:r>
              <w:rPr/>
              <w:t>0.0;</w:t>
            </w:r>
            <w:r>
              <w:rPr/>
              <w:t>1.0;</w:t>
            </w:r>
            <w:r>
              <w:rPr/>
              <w:t>3.0;</w:t>
            </w:r>
            <w:r>
              <w:rPr/>
              <w:t>6.0;</w:t>
            </w:r>
            <w:r>
              <w:rPr/>
              <w:t>）</w:t>
            </w:r>
          </w:p>
        </w:tc>
        <w:tc>
          <w:tcPr>
            <w:tcW w:type="dxa" w:w="5076"/>
          </w:tcPr>
          <w:p>
            <w:pPr>
              <w:jc w:val="left"/>
            </w:pPr>
            <w:r>
              <w:rPr/>
              <w:t>根据所投设备质量的稳定性、可维护性进行评审：  1、设备性能完全满足招标文件需求，具有稳定性及可维护性，得6分。  2、设备性能基本满足招标文件需求，有一定可维护性，得3分。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(4.0分)</w:t>
            </w:r>
            <w:r>
              <w:rPr/>
              <w:t>，（等次分值选择：</w:t>
            </w:r>
            <w:r>
              <w:rPr/>
              <w:t>0.0;</w:t>
            </w:r>
            <w:r>
              <w:rPr/>
              <w:t>1.0;</w:t>
            </w:r>
            <w:r>
              <w:rPr/>
              <w:t>2.0;</w:t>
            </w:r>
            <w:r>
              <w:rPr/>
              <w:t>4.0;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1、实施方案详细完整，可行性强，能完全满足招标文件要求的得4分；  2、实施方案基本完整，有一定可行性，基本满足招标文件要求的得2分；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自2020年1月1日起以来（以合同签订时间为准），提供投标人完成的同类项目业绩，或提供所投产品业绩，每提供一项得2.5分，最高得5分。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采购包2(电离辐射检测仪、便携音响设备声级测试系统):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(35.0分)</w:t>
            </w:r>
          </w:p>
        </w:tc>
        <w:tc>
          <w:tcPr>
            <w:tcW w:type="dxa" w:w="5076"/>
          </w:tcPr>
          <w:p>
            <w:pPr>
              <w:jc w:val="left"/>
            </w:pPr>
            <w:r>
              <w:rPr/>
              <w:t>根据招标文件《第二章 采购需求》“技术标准与要求”中的指标响应程度进行评分：  1、带“▲”参数：无偏离或正偏离的,每满足一项得3分，本小项最高得30分； 2、不带“▲”或“★”参数：无偏离或正偏离的,每满足一项得1分，本小项最高5分；  3、本项最高得35分。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(8.0分)</w:t>
            </w:r>
            <w:r>
              <w:rPr/>
              <w:t>，（等次分值选择：</w:t>
            </w:r>
            <w:r>
              <w:rPr/>
              <w:t>0.0;</w:t>
            </w:r>
            <w:r>
              <w:rPr/>
              <w:t>2.0;</w:t>
            </w:r>
            <w:r>
              <w:rPr/>
              <w:t>5.0;</w:t>
            </w:r>
            <w:r>
              <w:rPr/>
              <w:t>8.0;</w:t>
            </w:r>
            <w:r>
              <w:rPr/>
              <w:t>）</w:t>
            </w:r>
          </w:p>
        </w:tc>
        <w:tc>
          <w:tcPr>
            <w:tcW w:type="dxa" w:w="5076"/>
          </w:tcPr>
          <w:p>
            <w:pPr>
              <w:jc w:val="left"/>
            </w:pPr>
            <w:r>
              <w:rPr/>
              <w:t>根据所投设备质量的稳定性、可维护性进行评审：  1、设备性能完全满足招标文件需求，具有稳定性及可维护性，得8分。  2、设备性能基本满足招标文件需求，有一定可维护性，得5分。  3、设备性能不满足招标文件需求，稳定性及可维护性不足，得2分。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p>
    <w:p>
      <w:pPr>
        <w:jc w:val="center"/>
      </w:pPr>
    </w:p>
    <w:p>
      <w:pPr>
        <w:jc w:val="center"/>
      </w:pPr>
    </w:p>
    <w:p>
      <w:pPr>
        <w:jc w:val="center"/>
      </w:pPr>
    </w:p>
    <w:p>
      <w:pPr>
        <w:jc w:val="center"/>
      </w:pPr>
      <w:r>
        <w:rPr>
          <w:b/>
          <w:sz w:val="21"/>
        </w:rPr>
        <w:t xml:space="preserve"> </w:t>
      </w:r>
    </w:p>
    <w:p>
      <w:pPr>
        <w:jc w:val="center"/>
      </w:pPr>
      <w:r>
        <w:rPr>
          <w:b/>
          <w:sz w:val="48"/>
        </w:rPr>
        <w:t>广东省政府采购</w:t>
      </w:r>
    </w:p>
    <w:p>
      <w:pPr>
        <w:jc w:val="both"/>
      </w:pPr>
      <w:r>
        <w:rPr>
          <w:b/>
          <w:sz w:val="21"/>
        </w:rPr>
        <w:t xml:space="preserve"> </w:t>
      </w:r>
    </w:p>
    <w:p>
      <w:pPr>
        <w:jc w:val="center"/>
      </w:pPr>
      <w:r>
        <w:rPr>
          <w:b/>
          <w:sz w:val="48"/>
        </w:rPr>
        <w:t>合　同　书</w:t>
      </w:r>
    </w:p>
    <w:p>
      <w:pPr>
        <w:jc w:val="center"/>
      </w:pPr>
    </w:p>
    <w:p>
      <w:pPr>
        <w:jc w:val="center"/>
      </w:pPr>
    </w:p>
    <w:p>
      <w:pPr>
        <w:jc w:val="center"/>
      </w:pPr>
    </w:p>
    <w:p>
      <w:pPr>
        <w:jc w:val="center"/>
      </w:pPr>
    </w:p>
    <w:p>
      <w:pPr>
        <w:jc w:val="center"/>
      </w:pPr>
    </w:p>
    <w:p>
      <w:pPr>
        <w:jc w:val="center"/>
      </w:pPr>
      <w:r>
        <w:rPr>
          <w:sz w:val="21"/>
        </w:rPr>
        <w:t xml:space="preserve"> </w:t>
      </w:r>
    </w:p>
    <w:p>
      <w:pPr>
        <w:jc w:val="center"/>
      </w:pPr>
      <w:r>
        <w:rPr>
          <w:b/>
          <w:color w:val="222222"/>
          <w:sz w:val="28"/>
        </w:rPr>
        <w:t>合同编号：</w:t>
      </w:r>
      <w:r>
        <w:rPr>
          <w:b/>
          <w:color w:val="222222"/>
          <w:sz w:val="28"/>
        </w:rPr>
        <w:t>（</w:t>
      </w:r>
      <w:r>
        <w:rPr>
          <w:b/>
          <w:color w:val="222222"/>
          <w:sz w:val="28"/>
        </w:rPr>
        <w:t>采购计划编号</w:t>
      </w:r>
      <w:r>
        <w:rPr>
          <w:b/>
          <w:color w:val="222222"/>
          <w:sz w:val="28"/>
        </w:rPr>
        <w:t>）</w:t>
      </w:r>
      <w:r>
        <w:rPr>
          <w:b/>
          <w:color w:val="222222"/>
          <w:sz w:val="28"/>
        </w:rPr>
        <w:t>-</w:t>
      </w:r>
      <w:r>
        <w:rPr>
          <w:b/>
          <w:color w:val="222222"/>
          <w:sz w:val="28"/>
        </w:rPr>
        <w:t>x</w:t>
      </w:r>
      <w:r>
        <w:rPr>
          <w:b/>
          <w:sz w:val="21"/>
        </w:rPr>
        <w:t xml:space="preserve">       </w:t>
      </w:r>
    </w:p>
    <w:p>
      <w:pPr>
        <w:jc w:val="center"/>
      </w:pPr>
    </w:p>
    <w:p>
      <w:pPr>
        <w:jc w:val="center"/>
      </w:pPr>
    </w:p>
    <w:p>
      <w:pPr>
        <w:jc w:val="center"/>
      </w:pPr>
      <w:r>
        <w:rPr>
          <w:b/>
          <w:sz w:val="28"/>
        </w:rPr>
        <w:t xml:space="preserve">   </w:t>
      </w:r>
      <w:r>
        <w:rPr>
          <w:b/>
          <w:sz w:val="28"/>
        </w:rPr>
        <w:t>合同名称：佛山市质量计量监督检测中心</w:t>
      </w:r>
      <w:r>
        <w:rPr>
          <w:b/>
          <w:sz w:val="28"/>
        </w:rPr>
        <w:t>2023</w:t>
      </w:r>
      <w:r>
        <w:rPr>
          <w:b/>
          <w:sz w:val="28"/>
        </w:rPr>
        <w:t>年度质量检测能力提升设备采购项目（</w:t>
      </w:r>
      <w:r>
        <w:rPr>
          <w:b/>
          <w:sz w:val="28"/>
        </w:rPr>
        <w:t>二</w:t>
      </w:r>
      <w:r>
        <w:rPr>
          <w:b/>
          <w:sz w:val="28"/>
        </w:rPr>
        <w:t>）采购包</w:t>
      </w:r>
      <w:r>
        <w:rPr>
          <w:b/>
          <w:sz w:val="28"/>
        </w:rPr>
        <w:t>x</w:t>
      </w:r>
      <w:r>
        <w:rPr>
          <w:b/>
          <w:sz w:val="21"/>
        </w:rPr>
        <w:t xml:space="preserve"> </w:t>
      </w:r>
      <w:r>
        <w:rPr>
          <w:b/>
          <w:sz w:val="21"/>
        </w:rPr>
        <w:t xml:space="preserve"> </w:t>
      </w:r>
    </w:p>
    <w:p>
      <w:pPr>
        <w:ind w:firstLine="420"/>
        <w:jc w:val="both"/>
      </w:pPr>
    </w:p>
    <w:p>
      <w:pPr>
        <w:jc w:val="center"/>
      </w:pPr>
      <w:r>
        <w:rPr>
          <w:b/>
          <w:sz w:val="28"/>
        </w:rPr>
        <w:t>项目名称：佛山市质量计量监督检测中心</w:t>
      </w:r>
      <w:r>
        <w:rPr>
          <w:b/>
          <w:sz w:val="28"/>
        </w:rPr>
        <w:t>2023</w:t>
      </w:r>
      <w:r>
        <w:rPr>
          <w:b/>
          <w:sz w:val="28"/>
        </w:rPr>
        <w:t>年度</w:t>
      </w:r>
    </w:p>
    <w:p>
      <w:pPr>
        <w:jc w:val="center"/>
      </w:pPr>
      <w:r>
        <w:rPr>
          <w:b/>
          <w:sz w:val="28"/>
        </w:rPr>
        <w:t>质量检测能力提升设备采购项目（</w:t>
      </w:r>
      <w:r>
        <w:rPr>
          <w:b/>
          <w:sz w:val="28"/>
        </w:rPr>
        <w:t>二</w:t>
      </w:r>
      <w:r>
        <w:rPr>
          <w:b/>
          <w:sz w:val="28"/>
        </w:rPr>
        <w:t>）</w:t>
      </w:r>
    </w:p>
    <w:p>
      <w:pPr>
        <w:jc w:val="both"/>
      </w:pPr>
      <w:r>
        <w:rPr>
          <w:sz w:val="21"/>
        </w:rPr>
        <w:t xml:space="preserve"> </w:t>
      </w:r>
    </w:p>
    <w:p>
      <w:pPr>
        <w:jc w:val="center"/>
      </w:pPr>
      <w:r>
        <w:rPr>
          <w:b/>
          <w:sz w:val="28"/>
        </w:rPr>
        <w:t>项目编号：</w:t>
      </w:r>
    </w:p>
    <w:p>
      <w:pPr>
        <w:jc w:val="center"/>
      </w:pPr>
      <w:r>
        <w:rPr>
          <w:sz w:val="21"/>
        </w:rPr>
        <w:t xml:space="preserve"> </w:t>
      </w:r>
    </w:p>
    <w:p>
      <w:pPr>
        <w:jc w:val="center"/>
      </w:pPr>
      <w:r>
        <w:rPr>
          <w:b/>
          <w:sz w:val="28"/>
        </w:rPr>
        <w:t>采购计划备案编号：</w:t>
      </w:r>
    </w:p>
    <w:p>
      <w:pPr>
        <w:jc w:val="center"/>
      </w:pPr>
    </w:p>
    <w:p>
      <w:pPr>
        <w:jc w:val="center"/>
      </w:pPr>
      <w:r>
        <w:rPr>
          <w:b/>
          <w:sz w:val="28"/>
        </w:rPr>
        <w:t>采购包号：采购包</w:t>
      </w:r>
      <w:r>
        <w:rPr>
          <w:b/>
          <w:sz w:val="28"/>
        </w:rPr>
        <w:t>X</w:t>
      </w:r>
    </w:p>
    <w:p>
      <w:pPr>
        <w:jc w:val="center"/>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both"/>
      </w:pPr>
    </w:p>
    <w:p/>
    <w:p/>
    <w:p>
      <w:r>
        <w:rPr/>
        <w:t xml:space="preserve"> </w:t>
      </w:r>
    </w:p>
    <w:p>
      <w:pPr>
        <w:jc w:val="both"/>
      </w:pPr>
      <w:r>
        <w:rPr>
          <w:sz w:val="21"/>
        </w:rPr>
        <w:t>甲方（采购人）：佛山市质量计量监督检测中心</w:t>
      </w:r>
    </w:p>
    <w:p>
      <w:pPr>
        <w:jc w:val="both"/>
      </w:pPr>
      <w:r>
        <w:rPr>
          <w:sz w:val="21"/>
        </w:rPr>
        <w:t>电话：</w:t>
      </w:r>
      <w:r>
        <w:rPr>
          <w:sz w:val="21"/>
        </w:rPr>
        <w:t xml:space="preserve">0757-88780020                  </w:t>
      </w:r>
    </w:p>
    <w:p>
      <w:pPr>
        <w:jc w:val="both"/>
      </w:pPr>
      <w:r>
        <w:rPr>
          <w:sz w:val="21"/>
        </w:rPr>
        <w:t>地址：佛山市南海区狮山镇科技西路</w:t>
      </w:r>
      <w:r>
        <w:rPr>
          <w:sz w:val="21"/>
        </w:rPr>
        <w:t>2</w:t>
      </w:r>
      <w:r>
        <w:rPr>
          <w:sz w:val="21"/>
        </w:rPr>
        <w:t>号</w:t>
      </w:r>
    </w:p>
    <w:p>
      <w:pPr>
        <w:jc w:val="both"/>
      </w:pPr>
      <w:r>
        <w:rPr>
          <w:sz w:val="21"/>
        </w:rPr>
        <w:t>乙方（</w:t>
      </w:r>
      <w:r>
        <w:rPr>
          <w:sz w:val="21"/>
        </w:rPr>
        <w:t>中标人</w:t>
      </w:r>
      <w:r>
        <w:rPr>
          <w:sz w:val="21"/>
        </w:rPr>
        <w:t>）：</w:t>
      </w:r>
    </w:p>
    <w:p>
      <w:pPr>
        <w:jc w:val="both"/>
      </w:pPr>
      <w:r>
        <w:rPr>
          <w:sz w:val="21"/>
        </w:rPr>
        <w:t>电话：</w:t>
      </w:r>
      <w:r>
        <w:rPr>
          <w:sz w:val="21"/>
        </w:rPr>
        <w:t xml:space="preserve">                            </w:t>
      </w:r>
      <w:r>
        <w:rPr>
          <w:sz w:val="21"/>
        </w:rPr>
        <w:t>联系人：</w:t>
      </w:r>
    </w:p>
    <w:p>
      <w:pPr>
        <w:jc w:val="both"/>
      </w:pPr>
      <w:r>
        <w:rPr>
          <w:sz w:val="21"/>
        </w:rPr>
        <w:t>地址：</w:t>
      </w:r>
    </w:p>
    <w:p>
      <w:pPr>
        <w:ind w:firstLine="420"/>
        <w:jc w:val="both"/>
      </w:pPr>
      <w:r>
        <w:rPr>
          <w:sz w:val="21"/>
        </w:rPr>
        <w:t>根据</w:t>
      </w:r>
      <w:r>
        <w:rPr>
          <w:b/>
          <w:sz w:val="21"/>
          <w:u w:val="single"/>
        </w:rPr>
        <w:t>佛山市质量计量监督检测中心</w:t>
      </w:r>
      <w:r>
        <w:rPr>
          <w:b/>
          <w:sz w:val="21"/>
          <w:u w:val="single"/>
        </w:rPr>
        <w:t>2023</w:t>
      </w:r>
      <w:r>
        <w:rPr>
          <w:b/>
          <w:sz w:val="21"/>
          <w:u w:val="single"/>
        </w:rPr>
        <w:t>年度质量检测能力提升设备采购项目（二）</w:t>
      </w:r>
      <w:r>
        <w:rPr>
          <w:sz w:val="21"/>
        </w:rPr>
        <w:t>，项目编号：</w:t>
      </w:r>
      <w:r>
        <w:rPr>
          <w:b/>
          <w:sz w:val="21"/>
          <w:u w:val="single"/>
        </w:rPr>
        <w:t xml:space="preserve">              </w:t>
      </w:r>
      <w:r>
        <w:rPr>
          <w:sz w:val="21"/>
        </w:rPr>
        <w:t>，</w:t>
      </w:r>
      <w:r>
        <w:rPr>
          <w:sz w:val="21"/>
        </w:rPr>
        <w:t>采购</w:t>
      </w:r>
      <w:r>
        <w:rPr>
          <w:sz w:val="21"/>
        </w:rPr>
        <w:t>包号：</w:t>
      </w:r>
      <w:r>
        <w:rPr>
          <w:sz w:val="21"/>
          <w:u w:val="single"/>
        </w:rPr>
        <w:t xml:space="preserve">    </w:t>
      </w:r>
      <w:r>
        <w:rPr>
          <w:sz w:val="21"/>
        </w:rPr>
        <w:t>的采购结果，按照《中华人民共和国政府采购法》、《中华人民共和国民法典（合同编）》的规定，经双方协商，本着平等互利和诚实信用的原则，一致同意签订本合同如下。</w:t>
      </w:r>
    </w:p>
    <w:p>
      <w:pPr>
        <w:jc w:val="both"/>
      </w:pPr>
      <w:r>
        <w:rPr>
          <w:b/>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50"/>
        <w:gridCol w:w="1463"/>
        <w:gridCol w:w="662"/>
        <w:gridCol w:w="1113"/>
        <w:gridCol w:w="950"/>
        <w:gridCol w:w="738"/>
        <w:gridCol w:w="1238"/>
        <w:gridCol w:w="1438"/>
      </w:tblGrid>
      <w:tr>
        <w:tc>
          <w:tcPr>
            <w:tcW w:type="dxa" w:w="65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463"/>
            <w:tcBorders>
              <w:top w:val="single" w:color="000000" w:sz="4"/>
              <w:left w:val="none" w:color="000000" w:sz="4"/>
              <w:bottom w:val="single" w:color="000000" w:sz="4"/>
              <w:right w:val="single" w:color="000000" w:sz="4"/>
            </w:tcBorders>
            <w:vAlign w:val="top"/>
          </w:tcPr>
          <w:p>
            <w:pPr>
              <w:jc w:val="center"/>
            </w:pPr>
            <w:r>
              <w:rPr>
                <w:sz w:val="21"/>
              </w:rPr>
              <w:t>商品名称</w:t>
            </w:r>
          </w:p>
        </w:tc>
        <w:tc>
          <w:tcPr>
            <w:tcW w:type="dxa" w:w="662"/>
            <w:tcBorders>
              <w:top w:val="single" w:color="000000" w:sz="4"/>
              <w:left w:val="none" w:color="000000" w:sz="4"/>
              <w:bottom w:val="single" w:color="000000" w:sz="4"/>
              <w:right w:val="single" w:color="000000" w:sz="4"/>
            </w:tcBorders>
            <w:vAlign w:val="top"/>
          </w:tcPr>
          <w:p>
            <w:pPr>
              <w:jc w:val="center"/>
            </w:pPr>
            <w:r>
              <w:rPr>
                <w:sz w:val="21"/>
              </w:rPr>
              <w:t>品牌</w:t>
            </w:r>
          </w:p>
        </w:tc>
        <w:tc>
          <w:tcPr>
            <w:tcW w:type="dxa" w:w="1113"/>
            <w:tcBorders>
              <w:top w:val="single" w:color="000000" w:sz="4"/>
              <w:left w:val="none" w:color="000000" w:sz="4"/>
              <w:bottom w:val="single" w:color="000000" w:sz="4"/>
              <w:right w:val="single" w:color="000000" w:sz="4"/>
            </w:tcBorders>
            <w:vAlign w:val="top"/>
          </w:tcPr>
          <w:p>
            <w:pPr>
              <w:jc w:val="center"/>
            </w:pPr>
            <w:r>
              <w:rPr>
                <w:sz w:val="21"/>
              </w:rPr>
              <w:t>规格型号、配置（性能参数</w:t>
            </w:r>
          </w:p>
          <w:p>
            <w:pPr>
              <w:jc w:val="center"/>
            </w:pPr>
            <w:r>
              <w:rPr>
                <w:sz w:val="21"/>
              </w:rPr>
              <w:t>详见附件）</w:t>
            </w:r>
          </w:p>
        </w:tc>
        <w:tc>
          <w:tcPr>
            <w:tcW w:type="dxa" w:w="950"/>
            <w:tcBorders>
              <w:top w:val="single" w:color="000000" w:sz="4"/>
              <w:left w:val="none" w:color="000000" w:sz="4"/>
              <w:bottom w:val="single" w:color="000000" w:sz="4"/>
              <w:right w:val="single" w:color="000000" w:sz="4"/>
            </w:tcBorders>
            <w:vAlign w:val="top"/>
          </w:tcPr>
          <w:p>
            <w:pPr>
              <w:jc w:val="center"/>
            </w:pPr>
            <w:r>
              <w:rPr>
                <w:sz w:val="21"/>
              </w:rPr>
              <w:t>产地</w:t>
            </w:r>
          </w:p>
        </w:tc>
        <w:tc>
          <w:tcPr>
            <w:tcW w:type="dxa" w:w="738"/>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1238"/>
            <w:tcBorders>
              <w:top w:val="single" w:color="000000" w:sz="4"/>
              <w:left w:val="none" w:color="000000" w:sz="4"/>
              <w:bottom w:val="single" w:color="000000" w:sz="4"/>
              <w:right w:val="single" w:color="000000" w:sz="4"/>
            </w:tcBorders>
            <w:vAlign w:val="top"/>
          </w:tcPr>
          <w:p>
            <w:pPr>
              <w:jc w:val="center"/>
            </w:pPr>
            <w:r>
              <w:rPr>
                <w:sz w:val="21"/>
              </w:rPr>
              <w:t>单价</w:t>
            </w:r>
            <w:r>
              <w:rPr>
                <w:sz w:val="21"/>
              </w:rPr>
              <w:t>(</w:t>
            </w:r>
            <w:r>
              <w:rPr>
                <w:sz w:val="21"/>
              </w:rPr>
              <w:t>元</w:t>
            </w:r>
            <w:r>
              <w:rPr>
                <w:sz w:val="21"/>
              </w:rPr>
              <w:t>)</w:t>
            </w:r>
          </w:p>
        </w:tc>
        <w:tc>
          <w:tcPr>
            <w:tcW w:type="dxa" w:w="1438"/>
            <w:tcBorders>
              <w:top w:val="single" w:color="000000" w:sz="4"/>
              <w:left w:val="none" w:color="000000" w:sz="4"/>
              <w:bottom w:val="single" w:color="000000" w:sz="4"/>
              <w:right w:val="single" w:color="000000" w:sz="4"/>
            </w:tcBorders>
            <w:vAlign w:val="top"/>
          </w:tcPr>
          <w:p>
            <w:pPr>
              <w:jc w:val="center"/>
            </w:pPr>
            <w:r>
              <w:rPr>
                <w:sz w:val="21"/>
              </w:rPr>
              <w:t>金额</w:t>
            </w:r>
            <w:r>
              <w:rPr>
                <w:sz w:val="21"/>
              </w:rPr>
              <w:t>(</w:t>
            </w:r>
            <w:r>
              <w:rPr>
                <w:sz w:val="21"/>
              </w:rPr>
              <w:t>元</w:t>
            </w:r>
            <w:r>
              <w:rPr>
                <w:sz w:val="21"/>
              </w:rPr>
              <w:t>)</w:t>
            </w: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63"/>
            <w:tcBorders>
              <w:top w:val="none" w:color="000000" w:sz="4"/>
              <w:left w:val="none" w:color="000000" w:sz="4"/>
              <w:bottom w:val="single" w:color="000000" w:sz="4"/>
              <w:right w:val="single" w:color="000000" w:sz="4"/>
            </w:tcBorders>
            <w:vAlign w:val="top"/>
          </w:tcPr>
          <w:p>
            <w:pPr>
              <w:jc w:val="left"/>
            </w:pPr>
          </w:p>
        </w:tc>
        <w:tc>
          <w:tcPr>
            <w:tcW w:type="dxa" w:w="662"/>
            <w:tcBorders>
              <w:top w:val="none" w:color="000000" w:sz="4"/>
              <w:left w:val="none" w:color="000000" w:sz="4"/>
              <w:bottom w:val="single" w:color="000000" w:sz="4"/>
              <w:right w:val="single" w:color="000000" w:sz="4"/>
            </w:tcBorders>
            <w:vAlign w:val="top"/>
          </w:tcPr>
          <w:p>
            <w:pPr>
              <w:jc w:val="center"/>
            </w:pPr>
          </w:p>
        </w:tc>
        <w:tc>
          <w:tcPr>
            <w:tcW w:type="dxa" w:w="1113"/>
            <w:tcBorders>
              <w:top w:val="none" w:color="000000" w:sz="4"/>
              <w:left w:val="none" w:color="000000" w:sz="4"/>
              <w:bottom w:val="single" w:color="000000" w:sz="4"/>
              <w:right w:val="single" w:color="000000" w:sz="4"/>
            </w:tcBorders>
            <w:vAlign w:val="top"/>
          </w:tcPr>
          <w:p>
            <w:pPr>
              <w:jc w:val="center"/>
            </w:pPr>
          </w:p>
        </w:tc>
        <w:tc>
          <w:tcPr>
            <w:tcW w:type="dxa" w:w="950"/>
            <w:tcBorders>
              <w:top w:val="none" w:color="000000" w:sz="4"/>
              <w:left w:val="none" w:color="000000" w:sz="4"/>
              <w:bottom w:val="single" w:color="000000" w:sz="4"/>
              <w:right w:val="single" w:color="000000" w:sz="4"/>
            </w:tcBorders>
            <w:vAlign w:val="top"/>
          </w:tcPr>
          <w:p>
            <w:pPr>
              <w:jc w:val="center"/>
            </w:pPr>
          </w:p>
        </w:tc>
        <w:tc>
          <w:tcPr>
            <w:tcW w:type="dxa" w:w="738"/>
            <w:tcBorders>
              <w:top w:val="none" w:color="000000" w:sz="4"/>
              <w:left w:val="none" w:color="000000" w:sz="4"/>
              <w:bottom w:val="single" w:color="000000" w:sz="4"/>
              <w:right w:val="single" w:color="000000" w:sz="4"/>
            </w:tcBorders>
            <w:vAlign w:val="top"/>
          </w:tcPr>
          <w:p>
            <w:pPr>
              <w:jc w:val="center"/>
            </w:pPr>
          </w:p>
        </w:tc>
        <w:tc>
          <w:tcPr>
            <w:tcW w:type="dxa" w:w="1238"/>
            <w:tcBorders>
              <w:top w:val="none" w:color="000000" w:sz="4"/>
              <w:left w:val="none" w:color="000000" w:sz="4"/>
              <w:bottom w:val="single" w:color="000000" w:sz="4"/>
              <w:right w:val="single" w:color="000000" w:sz="4"/>
            </w:tcBorders>
            <w:vAlign w:val="top"/>
          </w:tcPr>
          <w:p>
            <w:pPr>
              <w:jc w:val="center"/>
            </w:pPr>
          </w:p>
        </w:tc>
        <w:tc>
          <w:tcPr>
            <w:tcW w:type="dxa" w:w="1438"/>
            <w:tcBorders>
              <w:top w:val="none" w:color="000000" w:sz="4"/>
              <w:left w:val="none" w:color="000000" w:sz="4"/>
              <w:bottom w:val="single" w:color="000000" w:sz="4"/>
              <w:right w:val="single" w:color="000000" w:sz="4"/>
            </w:tcBorders>
            <w:vAlign w:val="top"/>
          </w:tcPr>
          <w:p>
            <w:pPr>
              <w:jc w:val="center"/>
            </w:pP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63"/>
            <w:tcBorders>
              <w:top w:val="none" w:color="000000" w:sz="4"/>
              <w:left w:val="none" w:color="000000" w:sz="4"/>
              <w:bottom w:val="single" w:color="000000" w:sz="4"/>
              <w:right w:val="single" w:color="000000" w:sz="4"/>
            </w:tcBorders>
            <w:vAlign w:val="top"/>
          </w:tcPr>
          <w:p>
            <w:pPr>
              <w:jc w:val="left"/>
            </w:pPr>
          </w:p>
        </w:tc>
        <w:tc>
          <w:tcPr>
            <w:tcW w:type="dxa" w:w="662"/>
            <w:tcBorders>
              <w:top w:val="none" w:color="000000" w:sz="4"/>
              <w:left w:val="none" w:color="000000" w:sz="4"/>
              <w:bottom w:val="single" w:color="000000" w:sz="4"/>
              <w:right w:val="single" w:color="000000" w:sz="4"/>
            </w:tcBorders>
            <w:vAlign w:val="top"/>
          </w:tcPr>
          <w:p>
            <w:pPr>
              <w:jc w:val="center"/>
            </w:pPr>
          </w:p>
        </w:tc>
        <w:tc>
          <w:tcPr>
            <w:tcW w:type="dxa" w:w="1113"/>
            <w:tcBorders>
              <w:top w:val="none" w:color="000000" w:sz="4"/>
              <w:left w:val="none" w:color="000000" w:sz="4"/>
              <w:bottom w:val="single" w:color="000000" w:sz="4"/>
              <w:right w:val="single" w:color="000000" w:sz="4"/>
            </w:tcBorders>
            <w:vAlign w:val="top"/>
          </w:tcPr>
          <w:p>
            <w:pPr>
              <w:jc w:val="center"/>
            </w:pPr>
          </w:p>
        </w:tc>
        <w:tc>
          <w:tcPr>
            <w:tcW w:type="dxa" w:w="950"/>
            <w:tcBorders>
              <w:top w:val="none" w:color="000000" w:sz="4"/>
              <w:left w:val="none" w:color="000000" w:sz="4"/>
              <w:bottom w:val="single" w:color="000000" w:sz="4"/>
              <w:right w:val="single" w:color="000000" w:sz="4"/>
            </w:tcBorders>
            <w:vAlign w:val="top"/>
          </w:tcPr>
          <w:p>
            <w:pPr>
              <w:jc w:val="center"/>
            </w:pPr>
          </w:p>
        </w:tc>
        <w:tc>
          <w:tcPr>
            <w:tcW w:type="dxa" w:w="738"/>
            <w:tcBorders>
              <w:top w:val="none" w:color="000000" w:sz="4"/>
              <w:left w:val="none" w:color="000000" w:sz="4"/>
              <w:bottom w:val="single" w:color="000000" w:sz="4"/>
              <w:right w:val="single" w:color="000000" w:sz="4"/>
            </w:tcBorders>
            <w:vAlign w:val="top"/>
          </w:tcPr>
          <w:p>
            <w:pPr>
              <w:jc w:val="center"/>
            </w:pPr>
          </w:p>
        </w:tc>
        <w:tc>
          <w:tcPr>
            <w:tcW w:type="dxa" w:w="1238"/>
            <w:tcBorders>
              <w:top w:val="none" w:color="000000" w:sz="4"/>
              <w:left w:val="none" w:color="000000" w:sz="4"/>
              <w:bottom w:val="single" w:color="000000" w:sz="4"/>
              <w:right w:val="single" w:color="000000" w:sz="4"/>
            </w:tcBorders>
            <w:vAlign w:val="top"/>
          </w:tcPr>
          <w:p>
            <w:pPr>
              <w:jc w:val="center"/>
            </w:pPr>
          </w:p>
        </w:tc>
        <w:tc>
          <w:tcPr>
            <w:tcW w:type="dxa" w:w="1438"/>
            <w:tcBorders>
              <w:top w:val="none" w:color="000000" w:sz="4"/>
              <w:left w:val="none" w:color="000000" w:sz="4"/>
              <w:bottom w:val="single" w:color="000000" w:sz="4"/>
              <w:right w:val="single" w:color="000000" w:sz="4"/>
            </w:tcBorders>
            <w:vAlign w:val="top"/>
          </w:tcPr>
          <w:p>
            <w:pPr>
              <w:jc w:val="center"/>
            </w:pPr>
          </w:p>
        </w:tc>
      </w:tr>
      <w:tr>
        <w:tc>
          <w:tcPr>
            <w:tcW w:type="dxa" w:w="8252"/>
            <w:gridSpan w:val="8"/>
            <w:tcBorders>
              <w:top w:val="none" w:color="000000" w:sz="4"/>
              <w:left w:val="single" w:color="000000" w:sz="4"/>
              <w:bottom w:val="single" w:color="000000" w:sz="4"/>
              <w:right w:val="single" w:color="000000" w:sz="4"/>
            </w:tcBorders>
            <w:vAlign w:val="top"/>
          </w:tcPr>
          <w:p>
            <w:pPr>
              <w:jc w:val="center"/>
            </w:pPr>
            <w:r>
              <w:rPr>
                <w:sz w:val="21"/>
              </w:rPr>
              <w:t>合计总额：￥</w:t>
            </w:r>
            <w:r>
              <w:rPr>
                <w:sz w:val="21"/>
                <w:u w:val="single"/>
              </w:rPr>
              <w:t xml:space="preserve">    0.00</w:t>
            </w:r>
            <w:r>
              <w:rPr>
                <w:sz w:val="21"/>
              </w:rPr>
              <w:t>元；大写：人民币</w:t>
            </w:r>
            <w:r>
              <w:rPr>
                <w:sz w:val="21"/>
                <w:u w:val="single"/>
              </w:rPr>
              <w:t xml:space="preserve">       </w:t>
            </w:r>
            <w:r>
              <w:rPr>
                <w:sz w:val="21"/>
              </w:rPr>
              <w:t>元整</w:t>
            </w:r>
          </w:p>
        </w:tc>
      </w:tr>
    </w:tbl>
    <w:p>
      <w:pPr>
        <w:jc w:val="both"/>
      </w:pPr>
      <w:r>
        <w:rPr>
          <w:sz w:val="21"/>
        </w:rPr>
        <w:t>（一）合同金额为广东省佛山市目的地包干价。</w:t>
      </w:r>
    </w:p>
    <w:p>
      <w:pPr>
        <w:jc w:val="both"/>
      </w:pPr>
      <w:r>
        <w:rPr>
          <w:sz w:val="21"/>
        </w:rPr>
        <w:t>（二）合同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w:t>
      </w:r>
    </w:p>
    <w:p>
      <w:pPr>
        <w:jc w:val="both"/>
      </w:pPr>
      <w:r>
        <w:rPr>
          <w:sz w:val="21"/>
        </w:rPr>
        <w:t>（三）乙方在项目的实施过程中，甲方除了支付合同规定的款项外，一切合同规定外的费用将拒绝支付。</w:t>
      </w:r>
    </w:p>
    <w:p>
      <w:pPr>
        <w:jc w:val="both"/>
      </w:pPr>
      <w:r>
        <w:rPr>
          <w:sz w:val="21"/>
        </w:rPr>
        <w:t>注：货物名称内容必须与投标文件中货物名称内容一致。</w:t>
      </w:r>
    </w:p>
    <w:p>
      <w:pPr>
        <w:jc w:val="both"/>
      </w:pPr>
      <w:r>
        <w:rPr>
          <w:b/>
          <w:sz w:val="21"/>
        </w:rPr>
        <w:t>二、合同金额</w:t>
      </w:r>
    </w:p>
    <w:p>
      <w:pPr>
        <w:jc w:val="both"/>
      </w:pPr>
      <w:r>
        <w:rPr>
          <w:sz w:val="21"/>
        </w:rPr>
        <w:t>合同金额为（大写）：人民币</w:t>
      </w:r>
      <w:r>
        <w:rPr>
          <w:sz w:val="21"/>
        </w:rPr>
        <w:t xml:space="preserve">     </w:t>
      </w:r>
      <w:r>
        <w:rPr>
          <w:sz w:val="21"/>
        </w:rPr>
        <w:t>元整（￥</w:t>
      </w:r>
      <w:r>
        <w:rPr>
          <w:sz w:val="21"/>
        </w:rPr>
        <w:t xml:space="preserve">   .00</w:t>
      </w:r>
      <w:r>
        <w:rPr>
          <w:sz w:val="21"/>
        </w:rPr>
        <w:t>元）。</w:t>
      </w:r>
    </w:p>
    <w:p>
      <w:pPr>
        <w:jc w:val="both"/>
      </w:pPr>
      <w:r>
        <w:rPr>
          <w:b/>
          <w:sz w:val="21"/>
        </w:rPr>
        <w:t>三、交货期、交货方式及交货地点</w:t>
      </w:r>
    </w:p>
    <w:p>
      <w:pPr>
        <w:jc w:val="both"/>
      </w:pPr>
      <w:r>
        <w:rPr>
          <w:sz w:val="21"/>
        </w:rPr>
        <w:t>（一）交货期：自合同签订之日起</w:t>
      </w:r>
      <w:r>
        <w:rPr>
          <w:sz w:val="21"/>
          <w:u w:val="single"/>
        </w:rPr>
        <w:t xml:space="preserve">    </w:t>
      </w:r>
      <w:r>
        <w:rPr>
          <w:sz w:val="21"/>
        </w:rPr>
        <w:t>日历天交付并验收合格。</w:t>
      </w:r>
    </w:p>
    <w:p>
      <w:pPr>
        <w:jc w:val="both"/>
      </w:pPr>
      <w:r>
        <w:rPr>
          <w:sz w:val="21"/>
        </w:rPr>
        <w:t>（二）交货方式：详见</w:t>
      </w:r>
      <w:r>
        <w:rPr>
          <w:sz w:val="21"/>
        </w:rPr>
        <w:t>其他</w:t>
      </w:r>
      <w:r>
        <w:rPr>
          <w:sz w:val="21"/>
          <w:u w:val="single"/>
        </w:rPr>
        <w:t>商务条款；包装、保险及发运、保管要求</w:t>
      </w:r>
      <w:r>
        <w:rPr>
          <w:sz w:val="21"/>
        </w:rPr>
        <w:t>。</w:t>
      </w:r>
    </w:p>
    <w:p>
      <w:pPr>
        <w:jc w:val="both"/>
      </w:pPr>
      <w:r>
        <w:rPr>
          <w:sz w:val="21"/>
        </w:rPr>
        <w:t>（三）交货地点：佛山市质量计量监督检测中心。</w:t>
      </w:r>
    </w:p>
    <w:p>
      <w:pPr>
        <w:jc w:val="both"/>
      </w:pPr>
      <w:r>
        <w:rPr>
          <w:b/>
          <w:sz w:val="21"/>
        </w:rPr>
        <w:t>四、商务条款</w:t>
      </w:r>
    </w:p>
    <w:p>
      <w:pPr>
        <w:ind w:firstLine="420"/>
        <w:jc w:val="both"/>
      </w:pPr>
      <w:r>
        <w:rPr>
          <w:sz w:val="21"/>
        </w:rPr>
        <w:t>乙方在项目过程中（如货物安装、电路接线等）必须采取足够的安全措施，确保施工的安全，并自行负责相关安全责任。施工完毕后需清理好现场</w:t>
      </w:r>
      <w:r>
        <w:rPr>
          <w:sz w:val="21"/>
        </w:rPr>
        <w:t>,</w:t>
      </w:r>
      <w:r>
        <w:rPr>
          <w:sz w:val="21"/>
        </w:rPr>
        <w:t>将所有产生的垃圾带走。</w:t>
      </w:r>
    </w:p>
    <w:p>
      <w:pPr>
        <w:jc w:val="both"/>
      </w:pPr>
      <w:r>
        <w:rPr>
          <w:b/>
          <w:sz w:val="21"/>
        </w:rPr>
        <w:t>五、包装、保险及发运、保管要求</w:t>
      </w:r>
    </w:p>
    <w:p>
      <w:pPr>
        <w:jc w:val="both"/>
      </w:pPr>
      <w:r>
        <w:rPr>
          <w:sz w:val="21"/>
        </w:rPr>
        <w:t>（一）设备材料的包装必须是制造商原厂包装，其包装均应有良好的防湿、防锈、防潮、防雨、防腐及防碰撞的措施。凡由于包装不良造成的损失和由此产生的费用均由乙方承担。</w:t>
      </w:r>
    </w:p>
    <w:p>
      <w:pPr>
        <w:jc w:val="both"/>
      </w:pPr>
      <w:r>
        <w:rPr>
          <w:sz w:val="21"/>
        </w:rPr>
        <w:t>（二）乙方负责将设备材料货到现场过程中的全部运输，包括装卸车、货物现场的搬运。</w:t>
      </w:r>
    </w:p>
    <w:p>
      <w:pPr>
        <w:jc w:val="both"/>
      </w:pPr>
      <w:r>
        <w:rPr>
          <w:sz w:val="21"/>
        </w:rPr>
        <w:t>（三）各种设备必须提供装箱清单，按装箱清单验收货物。</w:t>
      </w:r>
    </w:p>
    <w:p>
      <w:pPr>
        <w:jc w:val="both"/>
      </w:pPr>
      <w:r>
        <w:rPr>
          <w:sz w:val="21"/>
        </w:rPr>
        <w:t>（四）货物在现场的保管由乙方负责，直至项目安装、验收完毕。</w:t>
      </w:r>
    </w:p>
    <w:p>
      <w:pPr>
        <w:jc w:val="both"/>
      </w:pPr>
      <w:r>
        <w:rPr>
          <w:sz w:val="21"/>
        </w:rPr>
        <w:t>（五）货物在系统安装调试验收合格前的保险由乙方负责，乙方负责其派出的现场服务人员人身意外责任，并应为服务人员购买相关保险。</w:t>
      </w:r>
    </w:p>
    <w:p>
      <w:pPr>
        <w:jc w:val="both"/>
      </w:pPr>
      <w:r>
        <w:rPr>
          <w:sz w:val="21"/>
        </w:rPr>
        <w:t>（六）设备至甲方指定的使用现场的包装、保险及发运等环节和费用均由乙方负责。</w:t>
      </w:r>
    </w:p>
    <w:p>
      <w:pPr>
        <w:jc w:val="both"/>
      </w:pPr>
      <w:r>
        <w:rPr>
          <w:b/>
          <w:sz w:val="21"/>
        </w:rPr>
        <w:t>六、培训</w:t>
      </w:r>
    </w:p>
    <w:p>
      <w:pPr>
        <w:jc w:val="both"/>
      </w:pPr>
      <w:r>
        <w:rPr>
          <w:sz w:val="21"/>
        </w:rPr>
        <w:t>（一）乙方须根据甲方的要求安排熟悉本项目的专业技术人员在甲方指定的地点（佛山市内）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sz w:val="21"/>
        </w:rPr>
        <w:t>（二）乙方必须为所有被培训人员提供培训使用的文字资料和讲义等相关用品。</w:t>
      </w:r>
    </w:p>
    <w:p>
      <w:pPr>
        <w:jc w:val="both"/>
      </w:pPr>
      <w:r>
        <w:rPr>
          <w:sz w:val="21"/>
        </w:rPr>
        <w:t>（三）所有的培训费用包括差旅、食宿、教材、资料等由乙方负责，均包含在合同金额中。</w:t>
      </w:r>
    </w:p>
    <w:p>
      <w:pPr>
        <w:jc w:val="both"/>
      </w:pPr>
      <w:r>
        <w:rPr>
          <w:b/>
          <w:sz w:val="21"/>
        </w:rPr>
        <w:t>七、质保期及售后服务要求</w:t>
      </w:r>
    </w:p>
    <w:p>
      <w:pPr>
        <w:jc w:val="both"/>
      </w:pPr>
      <w:r>
        <w:rPr>
          <w:sz w:val="21"/>
        </w:rPr>
        <w:t>（一）质量保证期（简称</w:t>
      </w:r>
      <w:r>
        <w:rPr>
          <w:sz w:val="21"/>
        </w:rPr>
        <w:t>“</w:t>
      </w:r>
      <w:r>
        <w:rPr>
          <w:sz w:val="21"/>
        </w:rPr>
        <w:t>质保期</w:t>
      </w:r>
      <w:r>
        <w:rPr>
          <w:sz w:val="21"/>
        </w:rPr>
        <w:t>”</w:t>
      </w:r>
      <w:r>
        <w:rPr>
          <w:sz w:val="21"/>
        </w:rPr>
        <w:t>）为所有设备自交付验收合格之日起</w:t>
      </w:r>
      <w:r>
        <w:rPr>
          <w:sz w:val="21"/>
          <w:u w:val="single"/>
        </w:rPr>
        <w:t xml:space="preserve">   </w:t>
      </w:r>
      <w:r>
        <w:rPr>
          <w:sz w:val="21"/>
        </w:rPr>
        <w:t>年，质保期内乙方对所供货物实行包修、包换、包退、包维护保养，期满后可同时提供终身维修保养服务。</w:t>
      </w:r>
    </w:p>
    <w:p>
      <w:pPr>
        <w:jc w:val="both"/>
      </w:pPr>
      <w:r>
        <w:rPr>
          <w:sz w:val="21"/>
        </w:rPr>
        <w:t>（二）质保期内发生的质量问题，由乙方负责免费解决（因甲方使用不当或其他人为因素造成的故障除外）。如货物因自身故障致停用时间累计超过</w:t>
      </w:r>
      <w:r>
        <w:rPr>
          <w:sz w:val="21"/>
        </w:rPr>
        <w:t>20</w:t>
      </w:r>
      <w:r>
        <w:rPr>
          <w:sz w:val="21"/>
        </w:rPr>
        <w:t>天时，则质保期在状态恢复正常时重新计算或对故障设备予以重新更换。</w:t>
      </w:r>
    </w:p>
    <w:p>
      <w:pPr>
        <w:jc w:val="both"/>
      </w:pPr>
      <w:r>
        <w:rPr>
          <w:sz w:val="21"/>
        </w:rPr>
        <w:t>（三）任何时候，乙方均不能免除因货物本身的缺陷所应负的责任。</w:t>
      </w:r>
    </w:p>
    <w:p>
      <w:pPr>
        <w:jc w:val="both"/>
      </w:pPr>
      <w:r>
        <w:rPr>
          <w:sz w:val="21"/>
        </w:rPr>
        <w:t>（四）质保期内乙方提供上门免费服务，在质保期内设置每周</w:t>
      </w:r>
      <w:r>
        <w:rPr>
          <w:sz w:val="21"/>
        </w:rPr>
        <w:t>7</w:t>
      </w:r>
      <w:r>
        <w:rPr>
          <w:sz w:val="21"/>
        </w:rPr>
        <w:t>天</w:t>
      </w:r>
      <w:r>
        <w:rPr>
          <w:sz w:val="21"/>
        </w:rPr>
        <w:t>×24</w:t>
      </w:r>
      <w:r>
        <w:rPr>
          <w:sz w:val="21"/>
        </w:rPr>
        <w:t>小时服务专线和长期的免费技术支持，对甲方的服务通知，乙方必须在接报后</w:t>
      </w:r>
      <w:r>
        <w:rPr>
          <w:sz w:val="21"/>
        </w:rPr>
        <w:t>1</w:t>
      </w:r>
      <w:r>
        <w:rPr>
          <w:sz w:val="21"/>
        </w:rPr>
        <w:t>小时内响应，</w:t>
      </w:r>
      <w:r>
        <w:rPr>
          <w:sz w:val="21"/>
        </w:rPr>
        <w:t>72</w:t>
      </w:r>
      <w:r>
        <w:rPr>
          <w:sz w:val="21"/>
        </w:rPr>
        <w:t>小时内到达现场，</w:t>
      </w:r>
      <w:r>
        <w:rPr>
          <w:sz w:val="21"/>
        </w:rPr>
        <w:t>6</w:t>
      </w:r>
      <w:r>
        <w:rPr>
          <w:sz w:val="21"/>
        </w:rPr>
        <w:t>天内处理完毕。若故障规定时间内未能处理完毕的，乙方必须免费提供同等的设备予甲方临时使用或采取应急措施解决，不得影响甲方的正常工作业务。</w:t>
      </w:r>
    </w:p>
    <w:p>
      <w:pPr>
        <w:jc w:val="both"/>
      </w:pPr>
      <w:r>
        <w:rPr>
          <w:b/>
          <w:sz w:val="21"/>
        </w:rPr>
        <w:t>八、安装、调试与验收</w:t>
      </w:r>
    </w:p>
    <w:p>
      <w:pPr>
        <w:jc w:val="both"/>
      </w:pPr>
      <w:r>
        <w:rPr>
          <w:sz w:val="21"/>
        </w:rPr>
        <w:t>（一）</w:t>
      </w:r>
      <w:r>
        <w:rPr>
          <w:sz w:val="21"/>
        </w:rPr>
        <w:t>乙方</w:t>
      </w:r>
      <w:r>
        <w:rPr>
          <w:sz w:val="21"/>
        </w:rPr>
        <w:t>应保证本项目的</w:t>
      </w:r>
      <w:r>
        <w:rPr>
          <w:sz w:val="21"/>
        </w:rPr>
        <w:t>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w:t>
      </w:r>
    </w:p>
    <w:p>
      <w:pPr>
        <w:jc w:val="both"/>
      </w:pPr>
      <w:r>
        <w:rPr>
          <w:sz w:val="21"/>
        </w:rPr>
        <w:t>（二）依次序对照适用标准为：</w:t>
      </w:r>
      <w:r>
        <w:rPr>
          <w:sz w:val="21"/>
        </w:rPr>
        <w:t>①</w:t>
      </w:r>
      <w:r>
        <w:rPr>
          <w:sz w:val="21"/>
        </w:rPr>
        <w:t>符合中华人民共和国国家安全质量标准、环保标准或行业标准；</w:t>
      </w:r>
      <w:r>
        <w:rPr>
          <w:sz w:val="21"/>
        </w:rPr>
        <w:t>②</w:t>
      </w:r>
      <w:r>
        <w:rPr>
          <w:sz w:val="21"/>
        </w:rPr>
        <w:t>符合采购文件和响应承诺中甲方认可的合理最佳配置、参数及各项要求；</w:t>
      </w:r>
      <w:r>
        <w:rPr>
          <w:sz w:val="21"/>
        </w:rPr>
        <w:t>③</w:t>
      </w:r>
      <w:r>
        <w:rPr>
          <w:sz w:val="21"/>
        </w:rPr>
        <w:t>货物来源国官方标准。上述标准必须是有关官方机构发布的最新版本的标准。</w:t>
      </w:r>
    </w:p>
    <w:p>
      <w:pPr>
        <w:jc w:val="both"/>
      </w:pPr>
      <w:r>
        <w:rPr>
          <w:sz w:val="21"/>
        </w:rPr>
        <w:t>（三）安装调试：</w:t>
      </w:r>
    </w:p>
    <w:p>
      <w:pPr>
        <w:jc w:val="both"/>
      </w:pPr>
      <w:r>
        <w:rPr>
          <w:sz w:val="21"/>
        </w:rPr>
        <w:t>1.</w:t>
      </w:r>
      <w:r>
        <w:rPr>
          <w:sz w:val="21"/>
        </w:rPr>
        <w:t>乙方负责到甲方指定的安装地点进行安装调试。</w:t>
      </w:r>
    </w:p>
    <w:p>
      <w:pPr>
        <w:jc w:val="both"/>
      </w:pPr>
      <w:r>
        <w:rPr>
          <w:sz w:val="21"/>
        </w:rPr>
        <w:t>2.</w:t>
      </w:r>
      <w:r>
        <w:rPr>
          <w:sz w:val="21"/>
        </w:rPr>
        <w:t>乙方必须提供设备安装、集成及调测服务，并确保调试完成后，设备能够正常运行，达到甲方可正常使用状态。</w:t>
      </w:r>
    </w:p>
    <w:p>
      <w:pPr>
        <w:jc w:val="both"/>
      </w:pPr>
      <w:r>
        <w:rPr>
          <w:sz w:val="21"/>
        </w:rPr>
        <w:t>3.</w:t>
      </w:r>
      <w:r>
        <w:rPr>
          <w:sz w:val="21"/>
        </w:rPr>
        <w:t>安装所需工具设施物料由乙方自备、自费运到现场，完工后自费搬走。</w:t>
      </w:r>
    </w:p>
    <w:p>
      <w:pPr>
        <w:jc w:val="both"/>
      </w:pPr>
      <w:r>
        <w:rPr>
          <w:sz w:val="21"/>
        </w:rPr>
        <w:t>4.</w:t>
      </w:r>
      <w:r>
        <w:rPr>
          <w:sz w:val="21"/>
        </w:rPr>
        <w:t>设备、材料的拆箱、安装、通电、调试等工作由乙方负责，但若甲方有特定要求需要参与的，则须在甲方指定人员的参与下进行。</w:t>
      </w:r>
    </w:p>
    <w:p>
      <w:pPr>
        <w:jc w:val="both"/>
      </w:pPr>
      <w:r>
        <w:rPr>
          <w:sz w:val="21"/>
        </w:rPr>
        <w:t>5.</w:t>
      </w:r>
      <w:r>
        <w:rPr>
          <w:sz w:val="21"/>
        </w:rPr>
        <w:t>调试：按国家相关验收规范进行。调试的原始记录须经双方签字后作为验收的文件之一。</w:t>
      </w:r>
    </w:p>
    <w:p>
      <w:pPr>
        <w:jc w:val="both"/>
      </w:pPr>
      <w:r>
        <w:rPr>
          <w:sz w:val="21"/>
        </w:rPr>
        <w:t>6.</w:t>
      </w:r>
      <w:r>
        <w:rPr>
          <w:sz w:val="21"/>
        </w:rPr>
        <w:t>乙方必须充分考虑现场的安装难度及安全性，做好施工现场的安全防护、文明施工工作。安装过程中发生的一切责任及费用由乙方负责，如对其他物品或结构造成损坏必须照价赔偿，若甲方因此垫付费用或承担赔偿责任的，有权向乙方进行追偿并直接从合同款项中予以扣减。</w:t>
      </w:r>
    </w:p>
    <w:p>
      <w:pPr>
        <w:jc w:val="both"/>
      </w:pPr>
      <w:r>
        <w:rPr>
          <w:sz w:val="21"/>
        </w:rPr>
        <w:t>（四）验收由乙方、甲方依国家有关标准、计量校准、合同及有关附件要求进行。乙方须为验收提供必需的相关条件及一切费用。</w:t>
      </w:r>
    </w:p>
    <w:p>
      <w:pPr>
        <w:jc w:val="both"/>
      </w:pPr>
      <w:r>
        <w:rPr>
          <w:sz w:val="21"/>
        </w:rPr>
        <w:t>（五）技术资料：</w:t>
      </w:r>
    </w:p>
    <w:p>
      <w:pPr>
        <w:jc w:val="both"/>
      </w:pPr>
      <w:r>
        <w:rPr>
          <w:sz w:val="21"/>
        </w:rPr>
        <w:t>1.</w:t>
      </w:r>
      <w:r>
        <w:rPr>
          <w:sz w:val="21"/>
        </w:rPr>
        <w:t>交货时，乙方应同时交付产品中文使用手册、质量检验证书（合格证）及设备维护说明等相关资料。</w:t>
      </w:r>
    </w:p>
    <w:p>
      <w:pPr>
        <w:jc w:val="both"/>
      </w:pPr>
      <w:r>
        <w:rPr>
          <w:sz w:val="21"/>
        </w:rPr>
        <w:t>2.</w:t>
      </w:r>
      <w:r>
        <w:rPr>
          <w:sz w:val="21"/>
        </w:rPr>
        <w:t>验收后，乙方应向甲方提供验收报告。验收完毕由甲方及乙方在验收报告上签名确认。</w:t>
      </w:r>
    </w:p>
    <w:p>
      <w:pPr>
        <w:jc w:val="both"/>
      </w:pPr>
      <w:r>
        <w:rPr>
          <w:b/>
          <w:sz w:val="21"/>
        </w:rPr>
        <w:t>九、付款方式</w:t>
      </w:r>
    </w:p>
    <w:p>
      <w:pPr>
        <w:jc w:val="both"/>
      </w:pPr>
      <w:r>
        <w:rPr>
          <w:sz w:val="21"/>
        </w:rPr>
        <w:t>由甲方按下列方式付款：</w:t>
      </w:r>
    </w:p>
    <w:p>
      <w:pPr>
        <w:jc w:val="both"/>
      </w:pPr>
      <w:r>
        <w:rPr>
          <w:sz w:val="21"/>
        </w:rPr>
        <w:t>1</w:t>
      </w:r>
      <w:r>
        <w:rPr>
          <w:sz w:val="21"/>
        </w:rPr>
        <w:t>、合同签订生效之日起</w:t>
      </w:r>
      <w:r>
        <w:rPr>
          <w:sz w:val="21"/>
        </w:rPr>
        <w:t>5</w:t>
      </w:r>
      <w:r>
        <w:rPr>
          <w:sz w:val="21"/>
        </w:rPr>
        <w:t>个工作日内，甲方向乙方支付合同总价的</w:t>
      </w:r>
      <w:r>
        <w:rPr>
          <w:sz w:val="21"/>
          <w:u w:val="single"/>
        </w:rPr>
        <w:t xml:space="preserve">   </w:t>
      </w:r>
      <w:r>
        <w:rPr>
          <w:sz w:val="21"/>
        </w:rPr>
        <w:t>%</w:t>
      </w:r>
      <w:r>
        <w:rPr>
          <w:sz w:val="21"/>
        </w:rPr>
        <w:t>。</w:t>
      </w:r>
    </w:p>
    <w:p>
      <w:pPr>
        <w:jc w:val="both"/>
      </w:pPr>
      <w:r>
        <w:rPr>
          <w:sz w:val="21"/>
        </w:rPr>
        <w:t>2</w:t>
      </w:r>
      <w:r>
        <w:rPr>
          <w:sz w:val="21"/>
        </w:rPr>
        <w:t>、所有设备安装调试完毕并由甲方总体验收合格之日起</w:t>
      </w:r>
      <w:r>
        <w:rPr>
          <w:sz w:val="21"/>
        </w:rPr>
        <w:t>15</w:t>
      </w:r>
      <w:r>
        <w:rPr>
          <w:sz w:val="21"/>
        </w:rPr>
        <w:t>日内，甲方向乙方支付合同总价的</w:t>
      </w:r>
      <w:r>
        <w:rPr>
          <w:sz w:val="21"/>
          <w:u w:val="single"/>
        </w:rPr>
        <w:t xml:space="preserve">   </w:t>
      </w:r>
      <w:r>
        <w:rPr>
          <w:sz w:val="21"/>
        </w:rPr>
        <w:t>%</w:t>
      </w:r>
      <w:r>
        <w:rPr>
          <w:sz w:val="21"/>
        </w:rPr>
        <w:t>。</w:t>
      </w:r>
    </w:p>
    <w:p>
      <w:pPr>
        <w:jc w:val="both"/>
      </w:pPr>
      <w:r>
        <w:rPr>
          <w:sz w:val="21"/>
        </w:rPr>
        <w:t>3</w:t>
      </w:r>
      <w:r>
        <w:rPr>
          <w:sz w:val="21"/>
        </w:rPr>
        <w:t>、每期付款由乙方提出申请，总体验收合格时提供该合同相应总金额的增值税专用发票，方可办理支付手续；收款方、出具发票方、合同中标人均必须与乙方名称一致。否则甲方有权顺延付款，乙方不得以此为由暂停实施本项目或要求顺延货物交付时间。</w:t>
      </w:r>
    </w:p>
    <w:p>
      <w:pPr>
        <w:jc w:val="both"/>
      </w:pPr>
      <w:r>
        <w:rPr>
          <w:b/>
          <w:color w:val="000000"/>
          <w:sz w:val="21"/>
        </w:rPr>
        <w:t>十、知识产权和保密要求</w:t>
      </w:r>
    </w:p>
    <w:p>
      <w:pPr>
        <w:jc w:val="both"/>
      </w:pPr>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sz w:val="21"/>
        </w:rPr>
        <w:t>2.</w:t>
      </w:r>
      <w:r>
        <w:rPr>
          <w:sz w:val="21"/>
        </w:rPr>
        <w:t>如果甲方在使用乙方货物或货物的任何一部分过程中，因侵犯第三方合法权益</w:t>
      </w:r>
      <w:r>
        <w:rPr>
          <w:sz w:val="21"/>
        </w:rPr>
        <w:t>（</w:t>
      </w:r>
      <w:r>
        <w:rPr>
          <w:sz w:val="21"/>
        </w:rPr>
        <w:t>包括但不限于知识产权</w:t>
      </w:r>
      <w:r>
        <w:rPr>
          <w:sz w:val="21"/>
        </w:rPr>
        <w:t>）</w:t>
      </w:r>
      <w:r>
        <w:rPr>
          <w:sz w:val="21"/>
        </w:rPr>
        <w:t>而</w:t>
      </w:r>
      <w:r>
        <w:rPr>
          <w:sz w:val="21"/>
        </w:rPr>
        <w:t>遭致</w:t>
      </w:r>
      <w:r>
        <w:rPr>
          <w:sz w:val="21"/>
        </w:rPr>
        <w:t>第三方索赔或主张权利的，乙方将自费为甲方应诉，并支付法院最终判</w:t>
      </w:r>
      <w:r>
        <w:rPr>
          <w:sz w:val="21"/>
        </w:rPr>
        <w:t>决</w:t>
      </w:r>
      <w:r>
        <w:rPr>
          <w:sz w:val="21"/>
        </w:rPr>
        <w:t>的甲方应支付给第三方的一切费用</w:t>
      </w:r>
      <w:r>
        <w:rPr>
          <w:sz w:val="21"/>
        </w:rPr>
        <w:t>，</w:t>
      </w:r>
      <w:r>
        <w:rPr>
          <w:sz w:val="21"/>
        </w:rPr>
        <w:t>且赔偿甲方由此遭受的全部损失及支出的合理费用</w:t>
      </w:r>
      <w:r>
        <w:rPr>
          <w:sz w:val="21"/>
        </w:rPr>
        <w:t>。</w:t>
      </w:r>
    </w:p>
    <w:p>
      <w:pPr>
        <w:jc w:val="both"/>
      </w:pPr>
      <w:r>
        <w:rPr>
          <w:sz w:val="21"/>
        </w:rPr>
        <w:t>3</w:t>
      </w:r>
      <w:r>
        <w:rPr>
          <w:sz w:val="21"/>
        </w:rPr>
        <w:t>.</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w:t>
      </w:r>
      <w:r>
        <w:rPr>
          <w:sz w:val="21"/>
        </w:rPr>
        <w:t>）除了合同本身之外，上款所列举的任何物件均是甲方的财产。如果甲方有要求，乙方在完成合同后应将这些物件及全部复制件还给甲方。</w:t>
      </w:r>
    </w:p>
    <w:p>
      <w:pPr>
        <w:jc w:val="both"/>
      </w:pPr>
      <w:r>
        <w:rPr>
          <w:b/>
          <w:sz w:val="21"/>
        </w:rPr>
        <w:t>十一、违约责任与赔偿损失</w:t>
      </w:r>
    </w:p>
    <w:p>
      <w:pPr>
        <w:jc w:val="both"/>
      </w:pPr>
      <w:r>
        <w:rPr>
          <w:sz w:val="21"/>
        </w:rPr>
        <w:t>（一）乙方交付的货物、工程</w:t>
      </w:r>
      <w:r>
        <w:rPr>
          <w:sz w:val="21"/>
        </w:rPr>
        <w:t>/</w:t>
      </w:r>
      <w:r>
        <w:rPr>
          <w:sz w:val="21"/>
        </w:rPr>
        <w:t>提供的服务不符合招标文件、投标文件或本合同规定的，甲方有权拒收，并且乙方须向甲方退还预付款，且赔付中标金额的百分之三十的违约金。</w:t>
      </w:r>
    </w:p>
    <w:p>
      <w:pPr>
        <w:jc w:val="both"/>
      </w:pPr>
      <w:r>
        <w:rPr>
          <w:sz w:val="21"/>
        </w:rPr>
        <w:t>（二）乙方未能按本合同规定的交货时间交付货物的</w:t>
      </w:r>
      <w:r>
        <w:rPr>
          <w:sz w:val="21"/>
        </w:rPr>
        <w:t>/</w:t>
      </w:r>
      <w:r>
        <w:rPr>
          <w:sz w:val="21"/>
        </w:rPr>
        <w:t>提供服务，从逾期之日起每日按本合同总价千分之五的数额向甲方支付违约金；逾期</w:t>
      </w:r>
      <w:r>
        <w:rPr>
          <w:sz w:val="21"/>
        </w:rPr>
        <w:t>15</w:t>
      </w:r>
      <w:r>
        <w:rPr>
          <w:sz w:val="21"/>
        </w:rPr>
        <w:t>天以上（含</w:t>
      </w:r>
      <w:r>
        <w:rPr>
          <w:sz w:val="21"/>
        </w:rPr>
        <w:t>15</w:t>
      </w:r>
      <w:r>
        <w:rPr>
          <w:sz w:val="21"/>
        </w:rPr>
        <w:t>天）的，甲方有权终止合同，要求乙方支付违约金，并且给甲方造成的经济损失由乙方承担赔偿责任。</w:t>
      </w:r>
    </w:p>
    <w:p>
      <w:pPr>
        <w:jc w:val="both"/>
      </w:pPr>
      <w:r>
        <w:rPr>
          <w:sz w:val="21"/>
        </w:rPr>
        <w:t>（三）甲方无正当理由拒收货物</w:t>
      </w:r>
      <w:r>
        <w:rPr>
          <w:sz w:val="21"/>
        </w:rPr>
        <w:t>/</w:t>
      </w:r>
      <w:r>
        <w:rPr>
          <w:sz w:val="21"/>
        </w:rPr>
        <w:t>接受服务，到期拒付货物</w:t>
      </w:r>
      <w:r>
        <w:rPr>
          <w:sz w:val="21"/>
        </w:rPr>
        <w:t>/</w:t>
      </w:r>
      <w:r>
        <w:rPr>
          <w:sz w:val="21"/>
        </w:rPr>
        <w:t>服务款项的，甲方向乙方偿付本合同总价的百分之五的违约金。甲方逾期付款</w:t>
      </w:r>
      <w:r>
        <w:rPr>
          <w:sz w:val="21"/>
        </w:rPr>
        <w:t>,</w:t>
      </w:r>
      <w:r>
        <w:rPr>
          <w:sz w:val="21"/>
        </w:rPr>
        <w:t>则每日按合同总金额千分之五向乙方偿付违约金。但由于财政拨款不到位或该项目相关手续和程序因流转政府采购审批流程及办理手续而造成项目支付进度有所推延的而导致甲方逾期付款的，甲方不承担违约责任，并且此情况不能成为乙方延期交货及服务的理由。</w:t>
      </w:r>
    </w:p>
    <w:p>
      <w:pPr>
        <w:jc w:val="both"/>
      </w:pPr>
      <w:r>
        <w:rPr>
          <w:sz w:val="21"/>
        </w:rPr>
        <w:t>（四）其它违约责任按《中华人民共和国民法典</w:t>
      </w:r>
      <w:r>
        <w:rPr>
          <w:sz w:val="21"/>
        </w:rPr>
        <w:t>(</w:t>
      </w:r>
      <w:r>
        <w:rPr>
          <w:sz w:val="21"/>
        </w:rPr>
        <w:t>合同编</w:t>
      </w:r>
      <w:r>
        <w:rPr>
          <w:sz w:val="21"/>
        </w:rPr>
        <w:t>)</w:t>
      </w:r>
      <w:r>
        <w:rPr>
          <w:sz w:val="21"/>
        </w:rPr>
        <w:t>》处理。</w:t>
      </w:r>
    </w:p>
    <w:p>
      <w:pPr>
        <w:jc w:val="both"/>
      </w:pPr>
      <w:r>
        <w:rPr>
          <w:b/>
          <w:sz w:val="21"/>
        </w:rPr>
        <w:t>十二、争议的解决</w:t>
      </w:r>
    </w:p>
    <w:p>
      <w:pPr>
        <w:ind w:firstLine="539"/>
        <w:jc w:val="both"/>
      </w:pPr>
      <w:r>
        <w:rPr>
          <w:sz w:val="21"/>
        </w:rPr>
        <w:t>合同执行过程中发生的任何争议，如双方不能通过友好协商解决，按相关法律法规处理。甲、乙双方一致同意向甲方所在地人民法院提起诉讼。</w:t>
      </w:r>
    </w:p>
    <w:p>
      <w:pPr>
        <w:jc w:val="both"/>
      </w:pPr>
      <w:r>
        <w:rPr>
          <w:b/>
          <w:sz w:val="21"/>
        </w:rPr>
        <w:t>十三、不可抗力</w:t>
      </w:r>
    </w:p>
    <w:p>
      <w:pPr>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十四、税费</w:t>
      </w:r>
    </w:p>
    <w:p>
      <w:pPr>
        <w:ind w:firstLine="420"/>
        <w:jc w:val="both"/>
      </w:pPr>
      <w:r>
        <w:rPr>
          <w:sz w:val="21"/>
        </w:rPr>
        <w:t>在中国境内、外发生的与本合同执行有关的一切税费均由乙方负担。</w:t>
      </w:r>
    </w:p>
    <w:p>
      <w:pPr>
        <w:jc w:val="both"/>
      </w:pPr>
      <w:r>
        <w:rPr>
          <w:b/>
          <w:sz w:val="21"/>
        </w:rPr>
        <w:t>十五、其它</w:t>
      </w:r>
    </w:p>
    <w:p>
      <w:pPr>
        <w:jc w:val="both"/>
      </w:pPr>
      <w:r>
        <w:rPr>
          <w:sz w:val="21"/>
        </w:rPr>
        <w:t>（一）本合同所有附件、招标文件、投标文件、中标通知书均为合同的有效组成部分，与本合同具有同等法律效力。</w:t>
      </w:r>
    </w:p>
    <w:p>
      <w:pPr>
        <w:jc w:val="both"/>
      </w:pPr>
      <w:r>
        <w:rPr>
          <w:sz w:val="21"/>
        </w:rPr>
        <w:t>（二）在执行本合同的过程中，所有经双方签署确认的文件（包括会议纪要、补充协议、往来信函）即成为本合同的有效组成部分。</w:t>
      </w:r>
    </w:p>
    <w:p>
      <w:pPr>
        <w:jc w:val="both"/>
      </w:pPr>
      <w:r>
        <w:rPr>
          <w:sz w:val="21"/>
        </w:rPr>
        <w:t>（三）如一方地址、电话、传真号码有变更，应在变更当日内书面通知对方，否则，应承担相应责任。</w:t>
      </w:r>
    </w:p>
    <w:p>
      <w:pPr>
        <w:jc w:val="both"/>
      </w:pPr>
      <w:r>
        <w:rPr>
          <w:sz w:val="21"/>
        </w:rPr>
        <w:t>（四）除甲方事先书面同意外，乙方不得部分或全部转让其应履行的合同项下的义务。</w:t>
      </w:r>
    </w:p>
    <w:p>
      <w:pPr>
        <w:jc w:val="both"/>
      </w:pPr>
      <w:r>
        <w:rPr>
          <w:b/>
          <w:sz w:val="21"/>
        </w:rPr>
        <w:t>十六、合同生效</w:t>
      </w:r>
    </w:p>
    <w:p>
      <w:pPr>
        <w:jc w:val="both"/>
      </w:pPr>
      <w:r>
        <w:rPr>
          <w:sz w:val="21"/>
        </w:rPr>
        <w:t>（一）所有经双方或多方签署确认的文件（包括会议纪要、补充协议、往来信函）、招标文件和乙方投标文件、合同的附件及《中标通知书》均为本合同不可分割的有效组成部分，与本合同具有同等的法律效力和履约义务，其生效日期为签字盖章确认之日期。</w:t>
      </w:r>
    </w:p>
    <w:p>
      <w:pPr>
        <w:jc w:val="both"/>
      </w:pPr>
      <w:r>
        <w:rPr>
          <w:sz w:val="21"/>
        </w:rPr>
        <w:t>（二）一方按照对方有效送达地址向对方邮寄送达相关文书的视为履行书面通知及交付义务，以邮政部门出具的签收回执作为送达成功依据、签收日作为送达成功日；对方不得以签收人不是本人或不具有签收授权为由进行抗辩；若发生拒收或其他不能送达的情况，应立即书面通知对方；在收到对方发送的变更通知前，以上信息仍有效，对各方具有约束力书自邮寄之日起第三日视为送达成功。双方承诺，任何一方上述信息发生变更的均应当及时书面通知对方。</w:t>
      </w:r>
    </w:p>
    <w:p>
      <w:pPr>
        <w:jc w:val="both"/>
      </w:pPr>
      <w:r>
        <w:rPr>
          <w:sz w:val="21"/>
        </w:rPr>
        <w:t>（三）未经甲方书面同意，乙方不得擅自向第三方转让其应履行的合同项下的义务。</w:t>
      </w:r>
    </w:p>
    <w:p>
      <w:pPr>
        <w:jc w:val="both"/>
      </w:pPr>
      <w:r>
        <w:rPr>
          <w:sz w:val="21"/>
        </w:rPr>
        <w:t>（四）本合同一式伍份，甲方执贰份，乙方执贰份，采购代理机构执壹份。</w:t>
      </w:r>
    </w:p>
    <w:p>
      <w:pPr>
        <w:jc w:val="both"/>
      </w:pPr>
      <w:r>
        <w:rPr>
          <w:sz w:val="21"/>
        </w:rPr>
        <w:t>（五）本合同共计</w:t>
      </w:r>
      <w:r>
        <w:rPr>
          <w:sz w:val="21"/>
          <w:u w:val="single"/>
        </w:rPr>
        <w:t xml:space="preserve">   </w:t>
      </w:r>
      <w:r>
        <w:rPr>
          <w:sz w:val="21"/>
        </w:rPr>
        <w:t>页</w:t>
      </w:r>
      <w:r>
        <w:rPr>
          <w:sz w:val="21"/>
        </w:rPr>
        <w:t>A4</w:t>
      </w:r>
      <w:r>
        <w:rPr>
          <w:sz w:val="21"/>
        </w:rPr>
        <w:t>纸张，缺页之合同为无效合同。</w:t>
      </w:r>
    </w:p>
    <w:p>
      <w:pPr>
        <w:jc w:val="both"/>
      </w:pPr>
      <w:r>
        <w:rPr>
          <w:sz w:val="21"/>
        </w:rPr>
        <w:t>（六）本合同签约履约地点：广东省佛山市。</w:t>
      </w: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甲方（盖章）：佛山市质量计量监督检测中心</w:t>
            </w:r>
          </w:p>
          <w:p>
            <w:pPr>
              <w:jc w:val="both"/>
            </w:pPr>
            <w:r>
              <w:rPr>
                <w:sz w:val="21"/>
              </w:rPr>
              <w:t>单位代表：</w:t>
            </w:r>
          </w:p>
          <w:p>
            <w:pPr>
              <w:jc w:val="both"/>
            </w:pPr>
            <w:r>
              <w:rPr>
                <w:sz w:val="21"/>
              </w:rPr>
              <w:t>经办人</w:t>
            </w:r>
            <w:r>
              <w:rPr>
                <w:sz w:val="24"/>
              </w:rPr>
              <w:t>：</w:t>
            </w:r>
          </w:p>
          <w:p>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乙方（盖章）：</w:t>
            </w:r>
          </w:p>
          <w:p>
            <w:pPr>
              <w:jc w:val="both"/>
            </w:pPr>
            <w:r>
              <w:rPr>
                <w:sz w:val="21"/>
              </w:rPr>
              <w:t>单位代表：</w:t>
            </w:r>
          </w:p>
          <w:p>
            <w:pPr>
              <w:ind w:firstLine="420"/>
              <w:jc w:val="both"/>
            </w:pP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420"/>
              <w:jc w:val="both"/>
            </w:pPr>
          </w:p>
          <w:p>
            <w:pPr>
              <w:jc w:val="both"/>
            </w:pPr>
            <w:r>
              <w:rPr>
                <w:sz w:val="21"/>
              </w:rPr>
              <w:t>开户名称：</w:t>
            </w:r>
          </w:p>
          <w:p>
            <w:pPr>
              <w:jc w:val="both"/>
            </w:pPr>
            <w:r>
              <w:rPr>
                <w:sz w:val="21"/>
              </w:rPr>
              <w:t>银行账号：</w:t>
            </w:r>
          </w:p>
          <w:p>
            <w:pPr>
              <w:jc w:val="both"/>
            </w:pPr>
            <w:r>
              <w:rPr>
                <w:sz w:val="21"/>
              </w:rPr>
              <w:t>开户行：</w:t>
            </w:r>
            <w:r>
              <w:rPr>
                <w:sz w:val="21"/>
              </w:rPr>
              <w:t xml:space="preserve">          </w:t>
            </w:r>
            <w:r>
              <w:rPr>
                <w:sz w:val="21"/>
              </w:rPr>
              <w:t>支行</w:t>
            </w:r>
          </w:p>
          <w:p/>
        </w:tc>
      </w:tr>
      <w:tr>
        <w:tc>
          <w:tcPr>
            <w:tcW w:type="dxa" w:w="4153"/>
            <w:tcBorders>
              <w:top w:val="none" w:color="000000" w:sz="4"/>
              <w:left w:val="none" w:color="000000" w:sz="4"/>
              <w:bottom w:val="none" w:color="000000" w:sz="4"/>
              <w:right w:val="none" w:color="000000" w:sz="4"/>
            </w:tcBorders>
            <w:vAlign w:val="top"/>
          </w:tcPr>
          <w:p>
            <w:pPr>
              <w:jc w:val="left"/>
            </w:pPr>
            <w:r>
              <w:rPr>
                <w:sz w:val="21"/>
              </w:rPr>
              <w:t>见证单位（盖章）：佛山市信悦咨询有限公司</w:t>
            </w:r>
          </w:p>
          <w:p>
            <w:pPr>
              <w:jc w:val="left"/>
            </w:pPr>
            <w:r>
              <w:rPr>
                <w:sz w:val="21"/>
              </w:rPr>
              <w:t>经确认，与招标文件及投标文件内容相符。</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tc>
        <w:tc>
          <w:tcPr>
            <w:tcW w:type="dxa" w:w="4153"/>
            <w:tcBorders>
              <w:top w:val="none" w:color="000000" w:sz="4"/>
              <w:left w:val="none" w:color="000000" w:sz="4"/>
              <w:bottom w:val="none" w:color="000000" w:sz="4"/>
              <w:right w:val="none" w:color="000000" w:sz="4"/>
            </w:tcBorders>
            <w:vAlign w:val="top"/>
          </w:tcP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440001-2023-21564</w:t>
      </w:r>
    </w:p>
    <w:p>
      <w:pPr>
        <w:jc w:val="center"/>
      </w:pPr>
      <w:r>
        <w:rPr>
          <w:b/>
          <w:sz w:val="24"/>
        </w:rPr>
        <w:t>采购项目编号：</w:t>
      </w:r>
      <w:r>
        <w:rPr>
          <w:b/>
          <w:sz w:val="24"/>
        </w:rPr>
        <w:t>XY0123013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佛山市质量计量监督检测中心2023年度质量检测能力提升设备采购项目（二）(二次)</w:t>
      </w:r>
      <w:r>
        <w:rPr>
          <w:u w:val="single"/>
        </w:rPr>
        <w:t>”</w:t>
      </w:r>
      <w:r>
        <w:rPr/>
        <w:t>项目的招标[采购项目编号为：</w:t>
      </w:r>
      <w:r>
        <w:rPr>
          <w:u w:val="single"/>
        </w:rPr>
        <w:t>XY0123013</w:t>
      </w:r>
      <w:r>
        <w:rPr/>
        <w:t>]，我方愿参与投标。</w:t>
      </w:r>
    </w:p>
    <w:p>
      <w:pPr>
        <w:ind w:firstLine="480"/>
      </w:pPr>
      <w:r>
        <w:rPr/>
        <w:t>我方确认收到贵方提供的</w:t>
      </w:r>
      <w:r>
        <w:rPr>
          <w:u w:val="single"/>
        </w:rPr>
        <w:t>“</w:t>
      </w:r>
      <w:r>
        <w:rPr>
          <w:u w:val="single"/>
        </w:rPr>
        <w:t>佛山市质量计量监督检测中心2023年度质量检测能力提升设备采购项目（二）(二次)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佛山市质量计量监督检测中心2023年度质量检测能力提升设备采购项目（二）(二次)</w:t>
      </w:r>
      <w:r>
        <w:rPr/>
        <w:t>”项目采购[采购项目编号为</w:t>
      </w:r>
      <w:r>
        <w:rPr/>
        <w:t>XY0123013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佛山市质量计量监督检测中心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佛山市质量计量监督检测中心2023年度质量检测能力提升设备采购项目（二）(二次)</w:t>
      </w:r>
      <w:r>
        <w:rPr/>
        <w:t>招标中获中标（采购项目编号：</w:t>
      </w:r>
      <w:r>
        <w:rPr/>
        <w:t>XY0123013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佛山市质量计量监督检测中心2023年度质量检测能力提升设备采购项目（二）(二次)</w:t>
      </w:r>
      <w:r>
        <w:rPr/>
        <w:t>”项目（采购项目编号：</w:t>
      </w:r>
      <w:r>
        <w:rPr/>
        <w:t>XY0123013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