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440001-2023-21564</w:t>
      </w:r>
    </w:p>
    <w:p>
      <w:pPr>
        <w:jc w:val="center"/>
      </w:pPr>
      <w:r>
        <w:rPr>
          <w:b/>
          <w:sz w:val="24"/>
        </w:rPr>
        <w:t>采购项目编号：</w:t>
      </w:r>
      <w:r>
        <w:rPr>
          <w:b/>
          <w:sz w:val="24"/>
        </w:rPr>
        <w:t>XY0123013</w:t>
      </w:r>
    </w:p>
    <w:p>
      <w:pPr>
        <w:jc w:val="center"/>
      </w:pPr>
      <w:r>
        <w:rPr>
          <w:b/>
          <w:sz w:val="24"/>
        </w:rPr>
        <w:t>项目名称：</w:t>
      </w:r>
      <w:r>
        <w:rPr>
          <w:b/>
          <w:sz w:val="24"/>
        </w:rPr>
        <w:t>佛山市质量计量监督检测中心2023年度质量检测能力提升设备采购项目（二）(三次)</w:t>
      </w:r>
    </w:p>
    <w:p>
      <w:pPr>
        <w:jc w:val="center"/>
      </w:pPr>
      <w:r>
        <w:rPr>
          <w:b/>
          <w:sz w:val="24"/>
        </w:rPr>
        <w:t>采购人：</w:t>
      </w:r>
      <w:r>
        <w:rPr>
          <w:b/>
          <w:sz w:val="24"/>
        </w:rPr>
        <w:t>佛山市质量计量监督检测中心</w:t>
      </w:r>
    </w:p>
    <w:p>
      <w:pPr>
        <w:jc w:val="center"/>
      </w:pPr>
      <w:r>
        <w:rPr>
          <w:b/>
          <w:sz w:val="24"/>
        </w:rPr>
        <w:t>采购代理机构：</w:t>
      </w:r>
      <w:r>
        <w:rPr>
          <w:b/>
          <w:sz w:val="24"/>
        </w:rPr>
        <w:t>佛山市信悦咨询有限公司</w:t>
      </w:r>
    </w:p>
    <w:p>
      <w:pPr>
        <w:ind w:firstLine="480"/>
      </w:pPr>
    </w:p>
    <w:p>
      <w:r>
        <w:rPr/>
        <w:t xml:space="preserve"> </w:t>
      </w:r>
    </w:p>
    <w:p/>
    <w:p>
      <w:pPr>
        <w:jc w:val="center"/>
      </w:pPr>
      <w:r>
        <w:rPr>
          <w:b/>
          <w:sz w:val="36"/>
        </w:rPr>
        <w:t>第一章投标邀请</w:t>
      </w:r>
    </w:p>
    <w:p>
      <w:pPr>
        <w:ind w:firstLine="480"/>
      </w:pPr>
      <w:r>
        <w:rPr/>
        <w:t>佛山市信悦咨询有限公司</w:t>
      </w:r>
      <w:r>
        <w:rPr/>
        <w:t>受</w:t>
      </w:r>
      <w:r>
        <w:rPr/>
        <w:t>佛山市质量计量监督检测中心</w:t>
      </w:r>
      <w:r>
        <w:rPr/>
        <w:t>的委托，采用</w:t>
      </w:r>
      <w:r>
        <w:rPr/>
        <w:t>公开招标</w:t>
      </w:r>
      <w:r>
        <w:rPr/>
        <w:t>方式组织采购</w:t>
      </w:r>
      <w:r>
        <w:rPr/>
        <w:t>佛山市质量计量监督检测中心2023年度质量检测能力提升设备采购项目（二）(三次)</w:t>
      </w:r>
      <w:r>
        <w:rPr/>
        <w:t>。欢迎符合资格条件的国内供应商参加投标。</w:t>
      </w:r>
    </w:p>
    <w:p>
      <w:r>
        <w:rPr>
          <w:b/>
          <w:sz w:val="28"/>
        </w:rPr>
        <w:t>一.项目概述</w:t>
      </w:r>
    </w:p>
    <w:p>
      <w:r>
        <w:rPr>
          <w:b/>
          <w:sz w:val="24"/>
        </w:rPr>
        <w:t>1.名称与编号</w:t>
      </w:r>
    </w:p>
    <w:p>
      <w:pPr>
        <w:ind w:firstLine="480"/>
      </w:pPr>
      <w:r>
        <w:rPr/>
        <w:t>项目名称：</w:t>
      </w:r>
      <w:r>
        <w:rPr/>
        <w:t>佛山市质量计量监督检测中心2023年度质量检测能力提升设备采购项目（二）(三次)</w:t>
      </w:r>
    </w:p>
    <w:p>
      <w:pPr>
        <w:ind w:firstLine="480"/>
      </w:pPr>
      <w:r>
        <w:rPr/>
        <w:t>采购计划编号：</w:t>
      </w:r>
      <w:r>
        <w:rPr/>
        <w:t>440001-2023-21564</w:t>
      </w:r>
    </w:p>
    <w:p>
      <w:pPr>
        <w:ind w:firstLine="480"/>
      </w:pPr>
      <w:r>
        <w:rPr/>
        <w:t>采购项目编号：</w:t>
      </w:r>
      <w:r>
        <w:rPr/>
        <w:t>XY0123013</w:t>
      </w:r>
    </w:p>
    <w:p>
      <w:pPr>
        <w:ind w:firstLine="480"/>
      </w:pPr>
      <w:r>
        <w:rPr/>
        <w:t>采购方式：</w:t>
      </w:r>
      <w:r>
        <w:rPr/>
        <w:t>公开招标</w:t>
      </w:r>
    </w:p>
    <w:p>
      <w:pPr>
        <w:ind w:firstLine="480"/>
      </w:pPr>
      <w:r>
        <w:rPr/>
        <w:t>预算金额：</w:t>
      </w:r>
      <w:r>
        <w:rPr/>
        <w:t>548,000.00</w:t>
      </w:r>
      <w:r>
        <w:rPr/>
        <w:t>元</w:t>
      </w:r>
    </w:p>
    <w:p>
      <w:r>
        <w:rPr>
          <w:b/>
          <w:sz w:val="24"/>
        </w:rPr>
        <w:t>2.项目内容及需求情况（采购项目技术规格、参数及要求）</w:t>
      </w:r>
    </w:p>
    <w:p>
      <w:pPr>
        <w:ind w:firstLine="480"/>
      </w:pPr>
    </w:p>
    <w:p/>
    <w:p>
      <w:r>
        <w:rPr/>
        <w:t>采购包1(电离辐射检测仪、便携音响设备声级测试系统):</w:t>
      </w:r>
    </w:p>
    <w:p>
      <w:r>
        <w:rPr/>
        <w:t>采购包预算金额：548,000.00元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其他试验仪器及装置</w:t>
            </w:r>
          </w:p>
        </w:tc>
        <w:tc>
          <w:tcPr>
            <w:tcW w:type="dxa" w:w="2136"/>
          </w:tcPr>
          <w:p>
            <w:r>
              <w:rPr/>
              <w:t>电离辐射检测仪</w:t>
            </w:r>
          </w:p>
        </w:tc>
        <w:tc>
          <w:tcPr>
            <w:tcW w:type="dxa" w:w="1187"/>
          </w:tcPr>
          <w:p>
            <w:r>
              <w:rPr/>
              <w:t>1.00(套)</w:t>
            </w:r>
          </w:p>
        </w:tc>
        <w:tc>
          <w:tcPr>
            <w:tcW w:type="dxa" w:w="1187"/>
          </w:tcPr>
          <w:p>
            <w:r>
              <w:rPr/>
              <w:t>详见第二章</w:t>
            </w:r>
          </w:p>
        </w:tc>
        <w:tc>
          <w:tcPr>
            <w:tcW w:type="dxa" w:w="1187"/>
          </w:tcPr>
          <w:p>
            <w:r>
              <w:rPr/>
              <w:t>是</w:t>
            </w:r>
          </w:p>
        </w:tc>
      </w:tr>
      <w:tr>
        <w:tc>
          <w:tcPr>
            <w:tcW w:type="dxa" w:w="1187"/>
          </w:tcPr>
          <w:p>
            <w:r>
              <w:rPr/>
              <w:t>1-2</w:t>
            </w:r>
          </w:p>
        </w:tc>
        <w:tc>
          <w:tcPr>
            <w:tcW w:type="dxa" w:w="1424"/>
          </w:tcPr>
          <w:p>
            <w:r>
              <w:rPr/>
              <w:t>电话、电声测试仪器</w:t>
            </w:r>
          </w:p>
        </w:tc>
        <w:tc>
          <w:tcPr>
            <w:tcW w:type="dxa" w:w="2136"/>
          </w:tcPr>
          <w:p>
            <w:r>
              <w:rPr/>
              <w:t>便携音响设备声级测试系统</w:t>
            </w:r>
          </w:p>
        </w:tc>
        <w:tc>
          <w:tcPr>
            <w:tcW w:type="dxa" w:w="1187"/>
          </w:tcPr>
          <w:p>
            <w:r>
              <w:rPr/>
              <w:t>1.00(套)</w:t>
            </w:r>
          </w:p>
        </w:tc>
        <w:tc>
          <w:tcPr>
            <w:tcW w:type="dxa" w:w="1187"/>
          </w:tcPr>
          <w:p>
            <w:r>
              <w:rPr/>
              <w:t>详见第二章</w:t>
            </w:r>
          </w:p>
        </w:tc>
        <w:tc>
          <w:tcPr>
            <w:tcW w:type="dxa" w:w="1187"/>
          </w:tcPr>
          <w:p>
            <w:r>
              <w:rPr/>
              <w:t>是</w:t>
            </w:r>
          </w:p>
        </w:tc>
      </w:tr>
    </w:tbl>
    <w:p/>
    <w:p>
      <w:r>
        <w:rPr/>
        <w:t>本采购包不接受联合体投标</w:t>
      </w:r>
    </w:p>
    <w:p/>
    <w:p>
      <w:r>
        <w:rPr/>
        <w:t>合同履行期限：详见《产品最高限价、交货期及质保期明细》</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p/>
    <w:p>
      <w:r>
        <w:rPr/>
        <w:t>2）有依法缴纳税收和社会保障资金的良好记录：提供投标文件递交截止日前6个月内（含截止日当月）任意1个月缴纳税收和社会保险的凭据证明材料扫描件；如依法免税或不需要缴纳社会保障资金的，提供相应证明材料，或提供《政府采购供应商资格信用承诺函》（按照招标公告附件1格式进行承诺）。</w:t>
      </w:r>
    </w:p>
    <w:p/>
    <w:p>
      <w:r>
        <w:rPr/>
        <w:t>3）具有良好的商业信誉和健全的财务会计制度：提供2021年度或2022年度财务状况报告扫描件，或投标文件递交截止日前6个月内（不含截止日当月）任意1个月的财务状况报告扫描件，或投标文件递交截止日前6个月内（含截止日当月）基本开户行出具的资信证明扫描件，或提供《政府采购供应商资格信用承诺函》（按照招标公告附件1格式进行承诺）。</w:t>
      </w:r>
    </w:p>
    <w:p/>
    <w:p>
      <w:r>
        <w:rPr/>
        <w:t>4）履行合同所必需的设备和专业技术能力：提供设备及专业技术能力情况的证明材料或承诺函（格式自拟）。</w:t>
      </w:r>
    </w:p>
    <w:p/>
    <w:p>
      <w:r>
        <w:rPr/>
        <w:t>5）参加采购活动前3年内，在经营活动中没有重大违法记录：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采购包1（电离辐射检测仪、便携音响设备声级测试系统）：</w:t>
      </w:r>
      <w:r>
        <w:rPr/>
        <w:t>采购包不属于专门面向中小企业采购项目。</w:t>
      </w:r>
    </w:p>
    <w:p/>
    <w:p>
      <w:r>
        <w:rPr>
          <w:b/>
          <w:sz w:val="24"/>
        </w:rPr>
        <w:t>3.本项目特定的资格要求：</w:t>
      </w:r>
    </w:p>
    <w:p>
      <w:pPr>
        <w:ind w:firstLine="480"/>
      </w:pPr>
    </w:p>
    <w:p/>
    <w:p>
      <w:r>
        <w:rPr/>
        <w:t>采购包1（电离辐射检测仪、便携音响设备声级测试系统）：</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采购代理机构网站（www.fssxyzx.com）</w:t>
      </w:r>
    </w:p>
    <w:p>
      <w:r>
        <w:rPr>
          <w:b/>
          <w:sz w:val="28"/>
        </w:rPr>
        <w:t>六.本项目联系方式：</w:t>
      </w:r>
    </w:p>
    <w:p>
      <w:r>
        <w:rPr>
          <w:b/>
          <w:sz w:val="24"/>
        </w:rPr>
        <w:t>1.采购人信息</w:t>
      </w:r>
    </w:p>
    <w:p>
      <w:pPr>
        <w:ind w:firstLine="480"/>
      </w:pPr>
      <w:r>
        <w:rPr/>
        <w:t>名称：</w:t>
      </w:r>
      <w:r>
        <w:rPr/>
        <w:t>佛山市质量计量监督检测中心</w:t>
      </w:r>
    </w:p>
    <w:p>
      <w:pPr>
        <w:ind w:firstLine="480"/>
      </w:pPr>
      <w:r>
        <w:rPr/>
        <w:t>地址：</w:t>
      </w:r>
      <w:r>
        <w:rPr/>
        <w:t>佛山市南海区狮山镇科技西路2号</w:t>
      </w:r>
    </w:p>
    <w:p>
      <w:pPr>
        <w:ind w:firstLine="480"/>
      </w:pPr>
      <w:r>
        <w:rPr/>
        <w:t>联系方式：</w:t>
      </w:r>
      <w:r>
        <w:rPr/>
        <w:t>0757-88780020</w:t>
      </w:r>
    </w:p>
    <w:p>
      <w:r>
        <w:rPr>
          <w:b/>
          <w:sz w:val="24"/>
        </w:rPr>
        <w:t>2.采购代理机构信息</w:t>
      </w:r>
    </w:p>
    <w:p>
      <w:pPr>
        <w:ind w:firstLine="480"/>
      </w:pPr>
      <w:r>
        <w:rPr/>
        <w:t>名称：</w:t>
      </w:r>
      <w:r>
        <w:rPr/>
        <w:t>佛山市信悦咨询有限公司</w:t>
      </w:r>
    </w:p>
    <w:p>
      <w:pPr>
        <w:ind w:firstLine="480"/>
      </w:pPr>
      <w:r>
        <w:rPr/>
        <w:t>地址：</w:t>
      </w:r>
      <w:r>
        <w:rPr/>
        <w:t>佛山市禅城区汾江南路18号雅庭国际一座2407</w:t>
      </w:r>
    </w:p>
    <w:p>
      <w:pPr>
        <w:ind w:firstLine="480"/>
      </w:pPr>
      <w:r>
        <w:rPr/>
        <w:t>联系方式：</w:t>
      </w:r>
      <w:r>
        <w:rPr/>
        <w:t>0757-83279001</w:t>
      </w:r>
    </w:p>
    <w:p>
      <w:r>
        <w:rPr>
          <w:b/>
          <w:sz w:val="24"/>
        </w:rPr>
        <w:t>3.项目联系方式</w:t>
      </w:r>
    </w:p>
    <w:p>
      <w:pPr>
        <w:ind w:firstLine="480"/>
      </w:pPr>
      <w:r>
        <w:rPr/>
        <w:t>项目联系人：</w:t>
      </w:r>
      <w:r>
        <w:rPr/>
        <w:t>李小姐</w:t>
      </w:r>
    </w:p>
    <w:p>
      <w:pPr>
        <w:ind w:firstLine="480"/>
      </w:pPr>
      <w:r>
        <w:rPr/>
        <w:t>电话：</w:t>
      </w:r>
      <w:r>
        <w:rPr/>
        <w:t>0757-83279001</w:t>
      </w:r>
    </w:p>
    <w:p>
      <w:r>
        <w:rPr>
          <w:b/>
          <w:sz w:val="24"/>
        </w:rPr>
        <w:t>4.技术支持联系方式</w:t>
      </w:r>
    </w:p>
    <w:p>
      <w:pPr>
        <w:ind w:firstLine="480"/>
      </w:pPr>
      <w:r>
        <w:rPr/>
        <w:t>云平台联系方式：020-88696588</w:t>
      </w:r>
    </w:p>
    <w:p>
      <w:r>
        <w:rPr/>
        <w:t>采购代理机构：</w:t>
      </w:r>
      <w:r>
        <w:rPr/>
        <w:t>佛山市信悦咨询有限公司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jc w:val="center"/>
      </w:pPr>
    </w:p>
    <w:p>
      <w:pPr>
        <w:ind w:firstLine="420"/>
        <w:jc w:val="center"/>
      </w:pPr>
      <w:r>
        <w:rPr>
          <w:b/>
          <w:sz w:val="21"/>
        </w:rPr>
        <w:t>《产品最高限价、交货期及质保期明细》</w:t>
      </w:r>
    </w:p>
    <w:tbl>
      <w:tblPr>
        <w:tblW w:w="0" w:type="auto"/>
        <w:tblBorders>
          <w:top w:val="none" w:color="000000" w:sz="4"/>
          <w:left w:val="none" w:color="000000" w:sz="4"/>
          <w:bottom w:val="none" w:color="000000" w:sz="4"/>
          <w:right w:val="none" w:color="000000" w:sz="4"/>
          <w:insideH w:val="none"/>
          <w:insideV w:val="none"/>
        </w:tblBorders>
      </w:tblPr>
      <w:tblGrid>
        <w:gridCol w:w="422"/>
        <w:gridCol w:w="2050"/>
        <w:gridCol w:w="1327"/>
        <w:gridCol w:w="1327"/>
        <w:gridCol w:w="904"/>
        <w:gridCol w:w="1432"/>
        <w:gridCol w:w="844"/>
      </w:tblGrid>
      <w:tr>
        <w:tc>
          <w:tcPr>
            <w:tcW w:type="dxa" w:w="422"/>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050"/>
            <w:tcBorders>
              <w:top w:val="single" w:color="000000" w:sz="4"/>
              <w:left w:val="none" w:color="000000" w:sz="4"/>
              <w:bottom w:val="single" w:color="000000" w:sz="4"/>
              <w:right w:val="single" w:color="000000" w:sz="4"/>
            </w:tcBorders>
            <w:vAlign w:val="top"/>
          </w:tcPr>
          <w:p>
            <w:pPr>
              <w:jc w:val="center"/>
            </w:pPr>
            <w:r>
              <w:rPr>
                <w:sz w:val="21"/>
              </w:rPr>
              <w:t>设备名称</w:t>
            </w:r>
          </w:p>
        </w:tc>
        <w:tc>
          <w:tcPr>
            <w:tcW w:type="dxa" w:w="1327"/>
            <w:tcBorders>
              <w:top w:val="single" w:color="000000" w:sz="4"/>
              <w:left w:val="none" w:color="000000" w:sz="4"/>
              <w:bottom w:val="single" w:color="000000" w:sz="4"/>
              <w:right w:val="single" w:color="000000" w:sz="4"/>
            </w:tcBorders>
            <w:vAlign w:val="top"/>
          </w:tcPr>
          <w:p>
            <w:pPr>
              <w:jc w:val="center"/>
            </w:pPr>
            <w:r>
              <w:rPr>
                <w:sz w:val="21"/>
              </w:rPr>
              <w:t>★</w:t>
            </w:r>
            <w:r>
              <w:rPr>
                <w:sz w:val="21"/>
              </w:rPr>
              <w:t>最高限价（人民币元）</w:t>
            </w:r>
          </w:p>
        </w:tc>
        <w:tc>
          <w:tcPr>
            <w:tcW w:type="dxa" w:w="1327"/>
            <w:tcBorders>
              <w:top w:val="single" w:color="000000" w:sz="4"/>
              <w:left w:val="none" w:color="000000" w:sz="4"/>
              <w:bottom w:val="single" w:color="000000" w:sz="4"/>
              <w:right w:val="single" w:color="000000" w:sz="4"/>
            </w:tcBorders>
            <w:vAlign w:val="top"/>
          </w:tcPr>
          <w:p>
            <w:pPr>
              <w:jc w:val="center"/>
            </w:pPr>
            <w:r>
              <w:rPr>
                <w:sz w:val="21"/>
              </w:rPr>
              <w:t>★</w:t>
            </w:r>
            <w:r>
              <w:rPr>
                <w:sz w:val="21"/>
              </w:rPr>
              <w:t>最高单价限价（人民币元）</w:t>
            </w:r>
          </w:p>
        </w:tc>
        <w:tc>
          <w:tcPr>
            <w:tcW w:type="dxa" w:w="904"/>
            <w:tcBorders>
              <w:top w:val="single" w:color="000000" w:sz="4"/>
              <w:left w:val="none" w:color="000000" w:sz="4"/>
              <w:bottom w:val="single" w:color="000000" w:sz="4"/>
              <w:right w:val="single" w:color="000000" w:sz="4"/>
            </w:tcBorders>
            <w:vAlign w:val="top"/>
          </w:tcPr>
          <w:p>
            <w:pPr>
              <w:jc w:val="center"/>
            </w:pPr>
            <w:r>
              <w:rPr>
                <w:sz w:val="21"/>
              </w:rPr>
              <w:t>数量</w:t>
            </w:r>
          </w:p>
          <w:p>
            <w:pPr>
              <w:jc w:val="center"/>
            </w:pPr>
            <w:r>
              <w:rPr>
                <w:sz w:val="21"/>
              </w:rPr>
              <w:t>（单位）</w:t>
            </w:r>
          </w:p>
        </w:tc>
        <w:tc>
          <w:tcPr>
            <w:tcW w:type="dxa" w:w="1432"/>
            <w:tcBorders>
              <w:top w:val="single" w:color="000000" w:sz="4"/>
              <w:left w:val="none" w:color="000000" w:sz="4"/>
              <w:bottom w:val="single" w:color="000000" w:sz="4"/>
              <w:right w:val="single" w:color="000000" w:sz="4"/>
            </w:tcBorders>
            <w:vAlign w:val="top"/>
          </w:tcPr>
          <w:p>
            <w:pPr>
              <w:jc w:val="center"/>
            </w:pPr>
            <w:r>
              <w:rPr>
                <w:sz w:val="21"/>
              </w:rPr>
              <w:t>交货期（安装调试完成并经验收合格）</w:t>
            </w:r>
          </w:p>
        </w:tc>
        <w:tc>
          <w:tcPr>
            <w:tcW w:type="dxa" w:w="844"/>
            <w:tcBorders>
              <w:top w:val="single" w:color="000000" w:sz="4"/>
              <w:left w:val="none" w:color="000000" w:sz="4"/>
              <w:bottom w:val="single" w:color="000000" w:sz="4"/>
              <w:right w:val="single" w:color="000000" w:sz="4"/>
            </w:tcBorders>
            <w:vAlign w:val="top"/>
          </w:tcPr>
          <w:p>
            <w:pPr>
              <w:jc w:val="center"/>
            </w:pPr>
            <w:r>
              <w:rPr>
                <w:sz w:val="21"/>
              </w:rPr>
              <w:t>质保期</w:t>
            </w:r>
          </w:p>
        </w:tc>
      </w:tr>
      <w:tr>
        <w:tc>
          <w:tcPr>
            <w:tcW w:type="dxa" w:w="8306"/>
            <w:gridSpan w:val="7"/>
            <w:tcBorders>
              <w:top w:val="none" w:color="000000" w:sz="4"/>
              <w:left w:val="single" w:color="000000" w:sz="4"/>
              <w:bottom w:val="single" w:color="000000" w:sz="4"/>
              <w:right w:val="single" w:color="000000" w:sz="4"/>
            </w:tcBorders>
            <w:vAlign w:val="top"/>
          </w:tcPr>
          <w:p>
            <w:pPr>
              <w:jc w:val="both"/>
            </w:pPr>
            <w:r>
              <w:rPr>
                <w:sz w:val="21"/>
              </w:rPr>
              <w:t>采购包</w:t>
            </w:r>
            <w:r>
              <w:rPr>
                <w:sz w:val="21"/>
              </w:rPr>
              <w:t>1</w:t>
            </w:r>
          </w:p>
        </w:tc>
      </w:tr>
      <w:tr>
        <w:tc>
          <w:tcPr>
            <w:tcW w:type="dxa" w:w="422"/>
            <w:tcBorders>
              <w:top w:val="none" w:color="000000" w:sz="4"/>
              <w:left w:val="single" w:color="000000" w:sz="4"/>
              <w:bottom w:val="single" w:color="000000" w:sz="4"/>
              <w:right w:val="single" w:color="000000" w:sz="4"/>
            </w:tcBorders>
            <w:vAlign w:val="top"/>
          </w:tcPr>
          <w:p>
            <w:pPr>
              <w:jc w:val="both"/>
            </w:pPr>
            <w:r>
              <w:rPr>
                <w:sz w:val="21"/>
              </w:rPr>
              <w:t>1</w:t>
            </w:r>
          </w:p>
        </w:tc>
        <w:tc>
          <w:tcPr>
            <w:tcW w:type="dxa" w:w="2050"/>
            <w:tcBorders>
              <w:top w:val="single" w:color="000000" w:sz="4"/>
              <w:left w:val="none" w:color="000000" w:sz="4"/>
              <w:bottom w:val="single" w:color="000000" w:sz="4"/>
              <w:right w:val="single" w:color="000000" w:sz="4"/>
            </w:tcBorders>
            <w:vAlign w:val="top"/>
          </w:tcPr>
          <w:p>
            <w:pPr>
              <w:jc w:val="both"/>
            </w:pPr>
            <w:r>
              <w:rPr>
                <w:sz w:val="21"/>
              </w:rPr>
              <w:t>电离辐射检测仪</w:t>
            </w:r>
          </w:p>
        </w:tc>
        <w:tc>
          <w:tcPr>
            <w:tcW w:type="dxa" w:w="1327"/>
            <w:tcBorders>
              <w:top w:val="single" w:color="000000" w:sz="4"/>
              <w:left w:val="none" w:color="000000" w:sz="4"/>
              <w:bottom w:val="single" w:color="000000" w:sz="4"/>
              <w:right w:val="single" w:color="000000" w:sz="4"/>
            </w:tcBorders>
            <w:vAlign w:val="top"/>
          </w:tcPr>
          <w:p>
            <w:pPr>
              <w:jc w:val="left"/>
            </w:pPr>
            <w:r>
              <w:rPr>
                <w:sz w:val="21"/>
              </w:rPr>
              <w:t>45,000.00</w:t>
            </w:r>
          </w:p>
        </w:tc>
        <w:tc>
          <w:tcPr>
            <w:tcW w:type="dxa" w:w="1327"/>
            <w:tcBorders>
              <w:top w:val="single" w:color="000000" w:sz="4"/>
              <w:left w:val="none" w:color="000000" w:sz="4"/>
              <w:bottom w:val="single" w:color="000000" w:sz="4"/>
              <w:right w:val="single" w:color="000000" w:sz="4"/>
            </w:tcBorders>
            <w:vAlign w:val="top"/>
          </w:tcPr>
          <w:p>
            <w:pPr>
              <w:jc w:val="left"/>
            </w:pPr>
            <w:r>
              <w:rPr>
                <w:sz w:val="21"/>
              </w:rPr>
              <w:t>45,000.00</w:t>
            </w:r>
          </w:p>
        </w:tc>
        <w:tc>
          <w:tcPr>
            <w:tcW w:type="dxa" w:w="904"/>
            <w:tcBorders>
              <w:top w:val="singl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32"/>
            <w:tcBorders>
              <w:top w:val="single" w:color="000000" w:sz="4"/>
              <w:left w:val="none" w:color="000000" w:sz="4"/>
              <w:bottom w:val="single" w:color="000000" w:sz="4"/>
              <w:right w:val="single" w:color="000000" w:sz="4"/>
            </w:tcBorders>
            <w:vAlign w:val="top"/>
          </w:tcPr>
          <w:p>
            <w:pPr>
              <w:jc w:val="center"/>
            </w:pPr>
            <w:r>
              <w:rPr>
                <w:sz w:val="21"/>
              </w:rPr>
              <w:t>120</w:t>
            </w:r>
            <w:r>
              <w:rPr>
                <w:sz w:val="21"/>
              </w:rPr>
              <w:t>天</w:t>
            </w:r>
          </w:p>
        </w:tc>
        <w:tc>
          <w:tcPr>
            <w:tcW w:type="dxa" w:w="844"/>
            <w:tcBorders>
              <w:top w:val="single" w:color="000000" w:sz="4"/>
              <w:left w:val="none" w:color="000000" w:sz="4"/>
              <w:bottom w:val="single" w:color="000000" w:sz="4"/>
              <w:right w:val="single" w:color="000000" w:sz="4"/>
            </w:tcBorders>
            <w:vAlign w:val="top"/>
          </w:tcPr>
          <w:p>
            <w:pPr>
              <w:jc w:val="center"/>
            </w:pPr>
            <w:r>
              <w:rPr>
                <w:sz w:val="21"/>
              </w:rPr>
              <w:t>1</w:t>
            </w:r>
            <w:r>
              <w:rPr>
                <w:sz w:val="21"/>
              </w:rPr>
              <w:t>年</w:t>
            </w:r>
          </w:p>
        </w:tc>
      </w:tr>
      <w:tr>
        <w:tc>
          <w:tcPr>
            <w:tcW w:type="dxa" w:w="422"/>
            <w:tcBorders>
              <w:top w:val="none" w:color="000000" w:sz="4"/>
              <w:left w:val="single" w:color="000000" w:sz="4"/>
              <w:bottom w:val="single" w:color="000000" w:sz="4"/>
              <w:right w:val="single" w:color="000000" w:sz="4"/>
            </w:tcBorders>
            <w:vAlign w:val="top"/>
          </w:tcPr>
          <w:p>
            <w:pPr>
              <w:jc w:val="both"/>
            </w:pPr>
            <w:r>
              <w:rPr>
                <w:sz w:val="21"/>
              </w:rPr>
              <w:t>2</w:t>
            </w:r>
          </w:p>
        </w:tc>
        <w:tc>
          <w:tcPr>
            <w:tcW w:type="dxa" w:w="2050"/>
            <w:tcBorders>
              <w:top w:val="none" w:color="000000" w:sz="4"/>
              <w:left w:val="none" w:color="000000" w:sz="4"/>
              <w:bottom w:val="single" w:color="000000" w:sz="4"/>
              <w:right w:val="single" w:color="000000" w:sz="4"/>
            </w:tcBorders>
            <w:vAlign w:val="top"/>
          </w:tcPr>
          <w:p>
            <w:pPr>
              <w:jc w:val="both"/>
            </w:pPr>
            <w:r>
              <w:rPr>
                <w:sz w:val="21"/>
              </w:rPr>
              <w:t>便携音响设备声级测试系统</w:t>
            </w:r>
          </w:p>
        </w:tc>
        <w:tc>
          <w:tcPr>
            <w:tcW w:type="dxa" w:w="1327"/>
            <w:tcBorders>
              <w:top w:val="none" w:color="000000" w:sz="4"/>
              <w:left w:val="none" w:color="000000" w:sz="4"/>
              <w:bottom w:val="single" w:color="000000" w:sz="4"/>
              <w:right w:val="single" w:color="000000" w:sz="4"/>
            </w:tcBorders>
            <w:vAlign w:val="top"/>
          </w:tcPr>
          <w:p>
            <w:pPr>
              <w:jc w:val="left"/>
            </w:pPr>
            <w:r>
              <w:rPr>
                <w:sz w:val="21"/>
              </w:rPr>
              <w:t>495,000.00</w:t>
            </w:r>
          </w:p>
        </w:tc>
        <w:tc>
          <w:tcPr>
            <w:tcW w:type="dxa" w:w="1327"/>
            <w:tcBorders>
              <w:top w:val="none" w:color="000000" w:sz="4"/>
              <w:left w:val="none" w:color="000000" w:sz="4"/>
              <w:bottom w:val="single" w:color="000000" w:sz="4"/>
              <w:right w:val="single" w:color="000000" w:sz="4"/>
            </w:tcBorders>
            <w:vAlign w:val="top"/>
          </w:tcPr>
          <w:p>
            <w:pPr>
              <w:jc w:val="left"/>
            </w:pPr>
            <w:r>
              <w:rPr>
                <w:sz w:val="21"/>
              </w:rPr>
              <w:t>495,000.00</w:t>
            </w:r>
          </w:p>
        </w:tc>
        <w:tc>
          <w:tcPr>
            <w:tcW w:type="dxa" w:w="904"/>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c>
          <w:tcPr>
            <w:tcW w:type="dxa" w:w="1432"/>
            <w:tcBorders>
              <w:top w:val="none" w:color="000000" w:sz="4"/>
              <w:left w:val="none" w:color="000000" w:sz="4"/>
              <w:bottom w:val="single" w:color="000000" w:sz="4"/>
              <w:right w:val="single" w:color="000000" w:sz="4"/>
            </w:tcBorders>
            <w:vAlign w:val="top"/>
          </w:tcPr>
          <w:p>
            <w:pPr>
              <w:jc w:val="center"/>
            </w:pPr>
            <w:r>
              <w:rPr>
                <w:sz w:val="21"/>
              </w:rPr>
              <w:t>120</w:t>
            </w:r>
            <w:r>
              <w:rPr>
                <w:sz w:val="21"/>
              </w:rPr>
              <w:t>天</w:t>
            </w:r>
          </w:p>
        </w:tc>
        <w:tc>
          <w:tcPr>
            <w:tcW w:type="dxa" w:w="844"/>
            <w:tcBorders>
              <w:top w:val="none" w:color="000000" w:sz="4"/>
              <w:left w:val="none" w:color="000000" w:sz="4"/>
              <w:bottom w:val="single" w:color="000000" w:sz="4"/>
              <w:right w:val="single" w:color="000000" w:sz="4"/>
            </w:tcBorders>
            <w:vAlign w:val="top"/>
          </w:tcPr>
          <w:p>
            <w:pPr>
              <w:jc w:val="center"/>
            </w:pPr>
            <w:r>
              <w:rPr>
                <w:sz w:val="21"/>
              </w:rPr>
              <w:t>1</w:t>
            </w:r>
            <w:r>
              <w:rPr>
                <w:sz w:val="21"/>
              </w:rPr>
              <w:t>年</w:t>
            </w:r>
          </w:p>
        </w:tc>
      </w:tr>
      <w:tr>
        <w:tc>
          <w:tcPr>
            <w:tcW w:type="dxa" w:w="2472"/>
            <w:gridSpan w:val="2"/>
            <w:tcBorders>
              <w:top w:val="none" w:color="000000" w:sz="4"/>
              <w:left w:val="single" w:color="000000" w:sz="4"/>
              <w:bottom w:val="single" w:color="000000" w:sz="4"/>
              <w:right w:val="single" w:color="000000" w:sz="4"/>
            </w:tcBorders>
            <w:vAlign w:val="top"/>
          </w:tcPr>
          <w:p>
            <w:pPr>
              <w:jc w:val="right"/>
            </w:pPr>
            <w:r>
              <w:rPr>
                <w:sz w:val="21"/>
              </w:rPr>
              <w:t>采购包最高限价小计：</w:t>
            </w:r>
          </w:p>
        </w:tc>
        <w:tc>
          <w:tcPr>
            <w:tcW w:type="dxa" w:w="5834"/>
            <w:gridSpan w:val="5"/>
            <w:tcBorders>
              <w:top w:val="none" w:color="000000" w:sz="4"/>
              <w:left w:val="none" w:color="000000" w:sz="4"/>
              <w:bottom w:val="single" w:color="000000" w:sz="4"/>
              <w:right w:val="single" w:color="000000" w:sz="4"/>
            </w:tcBorders>
            <w:vAlign w:val="top"/>
          </w:tcPr>
          <w:p>
            <w:pPr>
              <w:jc w:val="both"/>
            </w:pPr>
            <w:r>
              <w:rPr>
                <w:sz w:val="21"/>
              </w:rPr>
              <w:t>540,000.00</w:t>
            </w:r>
          </w:p>
        </w:tc>
      </w:tr>
    </w:tbl>
    <w:p>
      <w:pPr>
        <w:jc w:val="both"/>
      </w:pPr>
      <w:r>
        <w:rPr>
          <w:sz w:val="21"/>
        </w:rPr>
        <w:t>★</w:t>
      </w:r>
      <w:r>
        <w:rPr>
          <w:sz w:val="21"/>
        </w:rPr>
        <w:t>注：</w:t>
      </w:r>
    </w:p>
    <w:p>
      <w:pPr>
        <w:jc w:val="both"/>
      </w:pPr>
      <w:r>
        <w:rPr>
          <w:b/>
          <w:sz w:val="21"/>
        </w:rPr>
        <w:t>1.</w:t>
      </w:r>
      <w:r>
        <w:rPr>
          <w:b/>
          <w:sz w:val="21"/>
        </w:rPr>
        <w:t>因电子标系统不能调整招标文件内其他相应位置的最高限价与最高单价限价，如招标文件内其余处与以上表格内容不一致的，本项目采购货物的最高限价以此表格为准，超出此明细表最高限价的视为无效报价！！！</w:t>
      </w:r>
    </w:p>
    <w:p>
      <w:pPr>
        <w:jc w:val="both"/>
      </w:pPr>
      <w:r>
        <w:rPr>
          <w:sz w:val="21"/>
        </w:rPr>
        <w:t>2.</w:t>
      </w:r>
      <w:r>
        <w:rPr>
          <w:sz w:val="21"/>
        </w:rPr>
        <w:t>招标文件内所有涉及的规定、规范、标准，如有最新，以最新为准。</w:t>
      </w:r>
    </w:p>
    <w:p>
      <w:pPr>
        <w:jc w:val="both"/>
      </w:pPr>
      <w:r>
        <w:rPr>
          <w:sz w:val="21"/>
        </w:rPr>
        <w:t>3.</w:t>
      </w:r>
      <w:r>
        <w:rPr>
          <w:sz w:val="21"/>
        </w:rPr>
        <w:t>货物所有功能必须能在同一时间下满足。</w:t>
      </w:r>
    </w:p>
    <w:p>
      <w:pPr>
        <w:jc w:val="both"/>
      </w:pPr>
      <w:r>
        <w:rPr>
          <w:sz w:val="21"/>
        </w:rPr>
        <w:t>4.</w:t>
      </w:r>
      <w:r>
        <w:rPr>
          <w:sz w:val="21"/>
        </w:rPr>
        <w:t>政策要求：本项目采购货物如有列为强制节能产品，投标人对上述产品在投标时须附上该产品处于有效期内的节能产品认证证书等相关证明材料扫描件并加盖公章。</w:t>
      </w:r>
    </w:p>
    <w:p>
      <w:pPr>
        <w:jc w:val="both"/>
      </w:pPr>
    </w:p>
    <w:p/>
    <w:p>
      <w:pPr>
        <w:ind w:firstLine="480"/>
      </w:pPr>
    </w:p>
    <w:p/>
    <w:p>
      <w:r>
        <w:rPr/>
        <w:t>采购包1（电离辐射检测仪、便携音响设备声级测试系统）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详见《产品最高限价、交货期及质保期明细》</w:t>
            </w:r>
          </w:p>
        </w:tc>
      </w:tr>
      <w:tr>
        <w:tc>
          <w:tcPr>
            <w:tcW w:type="dxa" w:w="4153"/>
          </w:tcPr>
          <w:p>
            <w:r>
              <w:rPr/>
              <w:t>标的提供的地点</w:t>
            </w:r>
          </w:p>
        </w:tc>
        <w:tc>
          <w:tcPr>
            <w:tcW w:type="dxa" w:w="4153"/>
          </w:tcPr>
          <w:p/>
          <w:p>
            <w:r>
              <w:rPr/>
              <w:t>佛山市南海区狮山镇科技西路质监大院</w:t>
            </w:r>
          </w:p>
        </w:tc>
      </w:tr>
      <w:tr>
        <w:tc>
          <w:tcPr>
            <w:tcW w:type="dxa" w:w="4153"/>
          </w:tcPr>
          <w:p>
            <w:r>
              <w:rPr/>
              <w:t>付款方式</w:t>
            </w:r>
          </w:p>
        </w:tc>
        <w:tc>
          <w:tcPr>
            <w:tcW w:type="dxa" w:w="4153"/>
          </w:tcPr>
          <w:p/>
          <w:p/>
          <w:p>
            <w:r>
              <w:rPr/>
              <w:t>1期：支付比例30%,由采购人按下列方式付款：合同签订生效之日起5个工作日内，采购人向中标人支付合同总价的30%。</w:t>
            </w:r>
          </w:p>
          <w:p/>
          <w:p>
            <w:r>
              <w:rPr/>
              <w:t>2期：支付比例70%,所有设备安装调试完毕并由采购人总体验收合格之日起15日内，采购人向中标人支付合同总价的70%。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w:t>
            </w:r>
          </w:p>
        </w:tc>
      </w:tr>
      <w:tr>
        <w:tc>
          <w:tcPr>
            <w:tcW w:type="dxa" w:w="4153"/>
          </w:tcPr>
          <w:p>
            <w:r>
              <w:rPr/>
              <w:t>验收要求</w:t>
            </w:r>
          </w:p>
        </w:tc>
        <w:tc>
          <w:tcPr>
            <w:tcW w:type="dxa" w:w="4153"/>
          </w:tcPr>
          <w:p/>
          <w:p/>
          <w:p/>
          <w:p>
            <w:r>
              <w:rPr/>
              <w:t>1期：（一）中标人应保证本项目的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如适用）。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1，本项目严格落实《关于环境标志产品政府采购实施的意见》（财库[2006]90号）、《节能产品政府采购实施意见》（财库［2004］185号）、《财政部 发展改革委 生态环境部 市场监管总局关于调整优化节能产品、环境标志产品政府采购执行机制的通知》（财库〔2019〕9号）、《关于印发〈商品包装政府采购需求标准（试行）〉、〈快递包装政府采购需求标准（试行）〉的通知》等。</w:t>
            </w:r>
          </w:p>
          <w:p/>
          <w:p>
            <w:r>
              <w:rPr/>
              <w:t>2，★投标总报价：投标总报价中不得包含公开招标文件要求以外的内容，否则，在评标时不予核减。若投标报价有缺漏项的，缺漏项部分的价格视为已包含在投标报价中，成交后不作任何调整。</w:t>
            </w:r>
          </w:p>
          <w:p/>
          <w:p>
            <w:r>
              <w:rPr/>
              <w:t>3，★投标人须对本采购包为单位的货物内容进行整体响应，任何只对其中一部分服务内容进行的响应都被视为无效响应。</w:t>
            </w:r>
          </w:p>
        </w:tc>
      </w:tr>
    </w:tbl>
    <w:p/>
    <w:p>
      <w:r>
        <w:rPr/>
        <w:t>其他商务需求</w:t>
      </w:r>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（四）投标人所报价格不得超过本章第一点内《产品最高限价、交货期及质保期明细》内的最高限价与最高单价限价，否则视为投标无效。 注：货物名称内容必须与投标文件中货物名称内容一致。</w:t>
            </w:r>
          </w:p>
        </w:tc>
      </w:tr>
      <w:tr>
        <w:tc>
          <w:tcPr>
            <w:tcW w:type="dxa" w:w="2076"/>
          </w:tcPr>
          <w:p>
            <w:pPr>
              <w:jc w:val="center"/>
            </w:pPr>
          </w:p>
        </w:tc>
        <w:tc>
          <w:tcPr>
            <w:tcW w:type="dxa" w:w="2076"/>
          </w:tcPr>
          <w:p>
            <w:pPr>
              <w:jc w:val="center"/>
            </w:pPr>
            <w:r>
              <w:rPr/>
              <w:t>2</w:t>
            </w:r>
          </w:p>
        </w:tc>
        <w:tc>
          <w:tcPr>
            <w:tcW w:type="dxa" w:w="2076"/>
          </w:tcPr>
          <w:p>
            <w:pPr>
              <w:jc w:val="left"/>
            </w:pPr>
            <w:r>
              <w:rPr/>
              <w:t>备品备件要求</w:t>
            </w:r>
          </w:p>
        </w:tc>
        <w:tc>
          <w:tcPr>
            <w:tcW w:type="dxa" w:w="2076"/>
          </w:tcPr>
          <w:p>
            <w:pPr>
              <w:jc w:val="left"/>
            </w:pPr>
            <w:r>
              <w:rPr/>
              <w:t>中标人应对本项目的备品备件做好充足准备，并保证以成本价提供备品备件和维修服务。当发生故障时，中标人应按质量保证期内同样的要求进行维修处理。</w:t>
            </w:r>
          </w:p>
        </w:tc>
      </w:tr>
      <w:tr>
        <w:tc>
          <w:tcPr>
            <w:tcW w:type="dxa" w:w="2076"/>
          </w:tcPr>
          <w:p>
            <w:pPr>
              <w:jc w:val="center"/>
            </w:pPr>
          </w:p>
        </w:tc>
        <w:tc>
          <w:tcPr>
            <w:tcW w:type="dxa" w:w="2076"/>
          </w:tcPr>
          <w:p>
            <w:pPr>
              <w:jc w:val="center"/>
            </w:pPr>
            <w:r>
              <w:rPr/>
              <w:t>3</w:t>
            </w:r>
          </w:p>
        </w:tc>
        <w:tc>
          <w:tcPr>
            <w:tcW w:type="dxa" w:w="2076"/>
          </w:tcPr>
          <w:p>
            <w:pPr>
              <w:jc w:val="left"/>
            </w:pPr>
            <w:r>
              <w:rPr/>
              <w:t>商务条款</w:t>
            </w:r>
          </w:p>
        </w:tc>
        <w:tc>
          <w:tcPr>
            <w:tcW w:type="dxa" w:w="2076"/>
          </w:tcPr>
          <w:p>
            <w:pPr>
              <w:jc w:val="left"/>
            </w:pPr>
            <w:r>
              <w:rPr/>
              <w:t>中标人在项目过程中（如货物安装、电路接线等）必须采取足够的安全措施，确保施工的安全，并自行负责相关安全责任。施工完毕后需清理好现场,将所有产生的垃圾带走。</w:t>
            </w:r>
          </w:p>
        </w:tc>
      </w:tr>
      <w:tr>
        <w:tc>
          <w:tcPr>
            <w:tcW w:type="dxa" w:w="2076"/>
          </w:tcPr>
          <w:p>
            <w:pPr>
              <w:jc w:val="center"/>
            </w:pPr>
          </w:p>
        </w:tc>
        <w:tc>
          <w:tcPr>
            <w:tcW w:type="dxa" w:w="2076"/>
          </w:tcPr>
          <w:p>
            <w:pPr>
              <w:jc w:val="center"/>
            </w:pPr>
            <w:r>
              <w:rPr/>
              <w:t>4</w:t>
            </w:r>
          </w:p>
        </w:tc>
        <w:tc>
          <w:tcPr>
            <w:tcW w:type="dxa" w:w="2076"/>
          </w:tcPr>
          <w:p>
            <w:pPr>
              <w:jc w:val="left"/>
            </w:pPr>
            <w:r>
              <w:rPr/>
              <w:t>包装、保险及发运、保管要求</w:t>
            </w:r>
          </w:p>
        </w:tc>
        <w:tc>
          <w:tcPr>
            <w:tcW w:type="dxa" w:w="2076"/>
          </w:tcPr>
          <w:p>
            <w:pPr>
              <w:jc w:val="left"/>
            </w:pPr>
            <w:r>
              <w:rPr/>
              <w:t>（一）设备材料的包装必须是制造商原厂包装，其包装均应有良好的防湿、防锈、防潮、防雨、防腐及防碰撞的措施。凡由于包装不良造成的损失和由此产生的费用均由中标人承担。  （二）中标人负责将设备材料货到现场过程中的全部运输，包括装卸车、货物现场的搬运。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（五）货物在系统安装调试验收合格前的保险由中标人负责，中标人负责其派出的现场服务人员人身意外责任，并应为服务人员购买相关保险。  （六）设备至采购人指定的使用现场的包装、保险及发运等环节和费用均由中标人负责。</w:t>
            </w:r>
          </w:p>
        </w:tc>
      </w:tr>
      <w:tr>
        <w:tc>
          <w:tcPr>
            <w:tcW w:type="dxa" w:w="2076"/>
          </w:tcPr>
          <w:p>
            <w:pPr>
              <w:jc w:val="center"/>
            </w:pPr>
          </w:p>
        </w:tc>
        <w:tc>
          <w:tcPr>
            <w:tcW w:type="dxa" w:w="2076"/>
          </w:tcPr>
          <w:p>
            <w:pPr>
              <w:jc w:val="center"/>
            </w:pPr>
            <w:r>
              <w:rPr/>
              <w:t>5</w:t>
            </w:r>
          </w:p>
        </w:tc>
        <w:tc>
          <w:tcPr>
            <w:tcW w:type="dxa" w:w="2076"/>
          </w:tcPr>
          <w:p>
            <w:pPr>
              <w:jc w:val="left"/>
            </w:pPr>
            <w:r>
              <w:rPr/>
              <w:t>培训</w:t>
            </w:r>
          </w:p>
        </w:tc>
        <w:tc>
          <w:tcPr>
            <w:tcW w:type="dxa" w:w="2076"/>
          </w:tcPr>
          <w:p>
            <w:pPr>
              <w:jc w:val="left"/>
            </w:pPr>
            <w:r>
              <w:rPr/>
              <w:t>（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  （三）所有的培训费用包括差旅、食宿、教材、资料等由中标人负责，均包含在合同金额中。</w:t>
            </w:r>
          </w:p>
        </w:tc>
      </w:tr>
      <w:tr>
        <w:tc>
          <w:tcPr>
            <w:tcW w:type="dxa" w:w="2076"/>
          </w:tcPr>
          <w:p>
            <w:pPr>
              <w:jc w:val="center"/>
            </w:pPr>
          </w:p>
        </w:tc>
        <w:tc>
          <w:tcPr>
            <w:tcW w:type="dxa" w:w="2076"/>
          </w:tcPr>
          <w:p>
            <w:pPr>
              <w:jc w:val="center"/>
            </w:pPr>
            <w:r>
              <w:rPr/>
              <w:t>6</w:t>
            </w:r>
          </w:p>
        </w:tc>
        <w:tc>
          <w:tcPr>
            <w:tcW w:type="dxa" w:w="2076"/>
          </w:tcPr>
          <w:p>
            <w:pPr>
              <w:jc w:val="left"/>
            </w:pPr>
            <w:r>
              <w:rPr/>
              <w:t>质保期及售后服务要求</w:t>
            </w:r>
          </w:p>
        </w:tc>
        <w:tc>
          <w:tcPr>
            <w:tcW w:type="dxa" w:w="2076"/>
          </w:tcPr>
          <w:p>
            <w:pPr>
              <w:jc w:val="left"/>
            </w:pPr>
            <w:r>
              <w:rPr/>
              <w:t>（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予采购人临时使用或采取应急措施解决，不得影响采购人的正常工作业务。</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其他试验仪器及装置</w:t>
            </w:r>
          </w:p>
        </w:tc>
        <w:tc>
          <w:tcPr>
            <w:tcW w:type="dxa" w:w="831"/>
          </w:tcPr>
          <w:p>
            <w:pPr>
              <w:jc w:val="left"/>
            </w:pPr>
            <w:r>
              <w:rPr/>
              <w:t>电离辐射检测仪</w:t>
            </w:r>
          </w:p>
        </w:tc>
        <w:tc>
          <w:tcPr>
            <w:tcW w:type="dxa" w:w="831"/>
          </w:tcPr>
          <w:p>
            <w:pPr>
              <w:jc w:val="left"/>
            </w:pPr>
            <w:r>
              <w:rPr/>
              <w:t>套</w:t>
            </w:r>
          </w:p>
        </w:tc>
        <w:tc>
          <w:tcPr>
            <w:tcW w:type="dxa" w:w="831"/>
          </w:tcPr>
          <w:p>
            <w:pPr>
              <w:jc w:val="right"/>
            </w:pPr>
            <w:r>
              <w:rPr/>
              <w:t>1.00</w:t>
            </w:r>
          </w:p>
        </w:tc>
        <w:tc>
          <w:tcPr>
            <w:tcW w:type="dxa" w:w="831"/>
          </w:tcPr>
          <w:p>
            <w:pPr>
              <w:jc w:val="right"/>
            </w:pPr>
            <w:r>
              <w:rPr/>
              <w:t>50,000.00</w:t>
            </w:r>
          </w:p>
        </w:tc>
        <w:tc>
          <w:tcPr>
            <w:tcW w:type="dxa" w:w="831"/>
          </w:tcPr>
          <w:p>
            <w:pPr>
              <w:jc w:val="right"/>
            </w:pPr>
            <w:r>
              <w:rPr/>
              <w:t>50,000.00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r>
              <w:rPr/>
              <w:t>△</w:t>
            </w:r>
          </w:p>
        </w:tc>
        <w:tc>
          <w:tcPr>
            <w:tcW w:type="dxa" w:w="831"/>
          </w:tcPr>
          <w:p>
            <w:pPr>
              <w:jc w:val="left"/>
            </w:pPr>
            <w:r>
              <w:rPr/>
              <w:t>电话、电声测试仪器</w:t>
            </w:r>
          </w:p>
        </w:tc>
        <w:tc>
          <w:tcPr>
            <w:tcW w:type="dxa" w:w="831"/>
          </w:tcPr>
          <w:p>
            <w:pPr>
              <w:jc w:val="left"/>
            </w:pPr>
            <w:r>
              <w:rPr/>
              <w:t>便携音响设备声级测试系统</w:t>
            </w:r>
          </w:p>
        </w:tc>
        <w:tc>
          <w:tcPr>
            <w:tcW w:type="dxa" w:w="831"/>
          </w:tcPr>
          <w:p>
            <w:pPr>
              <w:jc w:val="left"/>
            </w:pPr>
            <w:r>
              <w:rPr/>
              <w:t>套</w:t>
            </w:r>
          </w:p>
        </w:tc>
        <w:tc>
          <w:tcPr>
            <w:tcW w:type="dxa" w:w="831"/>
          </w:tcPr>
          <w:p>
            <w:pPr>
              <w:jc w:val="right"/>
            </w:pPr>
            <w:r>
              <w:rPr/>
              <w:t>1.00</w:t>
            </w:r>
          </w:p>
        </w:tc>
        <w:tc>
          <w:tcPr>
            <w:tcW w:type="dxa" w:w="831"/>
          </w:tcPr>
          <w:p>
            <w:pPr>
              <w:jc w:val="right"/>
            </w:pPr>
            <w:r>
              <w:rPr/>
              <w:t>498,000.00</w:t>
            </w:r>
          </w:p>
        </w:tc>
        <w:tc>
          <w:tcPr>
            <w:tcW w:type="dxa" w:w="831"/>
          </w:tcPr>
          <w:p>
            <w:pPr>
              <w:jc w:val="right"/>
            </w:pPr>
            <w:r>
              <w:rPr/>
              <w:t>498,000.00</w:t>
            </w:r>
          </w:p>
        </w:tc>
        <w:tc>
          <w:tcPr>
            <w:tcW w:type="dxa" w:w="831"/>
          </w:tcPr>
          <w:p>
            <w:r>
              <w:rPr/>
              <w:t>工业</w:t>
            </w:r>
          </w:p>
        </w:tc>
        <w:tc>
          <w:tcPr>
            <w:tcW w:type="dxa" w:w="831"/>
          </w:tcPr>
          <w:p>
            <w:r>
              <w:rPr/>
              <w:t>详见附表二</w:t>
            </w:r>
          </w:p>
        </w:tc>
      </w:tr>
    </w:tbl>
    <w:p/>
    <w:p>
      <w:r>
        <w:rPr>
          <w:b/>
        </w:rPr>
        <w:t>附表</w:t>
      </w:r>
      <w:r>
        <w:rPr>
          <w:b/>
        </w:rPr>
        <w:t>一</w:t>
      </w:r>
      <w:r>
        <w:rPr>
          <w:b/>
        </w:rPr>
        <w:t>：</w:t>
      </w:r>
      <w:r>
        <w:rPr>
          <w:b/>
        </w:rPr>
        <w:t>电离辐射检测仪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sz w:val="21"/>
              </w:rPr>
              <w:t>一、</w:t>
            </w:r>
            <w:r>
              <w:rPr>
                <w:sz w:val="21"/>
              </w:rPr>
              <w:t>满足标准：</w:t>
            </w:r>
          </w:p>
          <w:p>
            <w:r>
              <w:rPr>
                <w:sz w:val="21"/>
              </w:rPr>
              <w:t>符合</w:t>
            </w:r>
            <w:r>
              <w:rPr>
                <w:sz w:val="21"/>
              </w:rPr>
              <w:t>GB4943.1-2022</w:t>
            </w:r>
            <w:r>
              <w:rPr>
                <w:sz w:val="21"/>
              </w:rPr>
              <w:t>、</w:t>
            </w:r>
            <w:r>
              <w:rPr>
                <w:sz w:val="21"/>
              </w:rPr>
              <w:t>IEC 62368-1</w:t>
            </w:r>
            <w:r>
              <w:rPr>
                <w:sz w:val="21"/>
              </w:rPr>
              <w:t>标准的要求</w:t>
            </w:r>
          </w:p>
        </w:tc>
      </w:tr>
      <w:tr>
        <w:tc>
          <w:tcPr>
            <w:tcW w:type="dxa" w:w="2076"/>
          </w:tcPr>
          <w:p>
            <w:r>
              <w:rPr/>
              <w:t>▲</w:t>
            </w:r>
          </w:p>
        </w:tc>
        <w:tc>
          <w:tcPr>
            <w:tcW w:type="dxa" w:w="415"/>
          </w:tcPr>
          <w:p>
            <w:r>
              <w:rPr/>
              <w:t>2</w:t>
            </w:r>
          </w:p>
        </w:tc>
        <w:tc>
          <w:tcPr>
            <w:tcW w:type="dxa" w:w="5814"/>
          </w:tcPr>
          <w:p>
            <w:pPr>
              <w:jc w:val="left"/>
            </w:pPr>
            <w:r>
              <w:rPr>
                <w:sz w:val="21"/>
              </w:rPr>
              <w:t>二、主要技术参数：</w:t>
            </w:r>
          </w:p>
          <w:p>
            <w:r>
              <w:rPr>
                <w:sz w:val="21"/>
              </w:rPr>
              <w:t>1.</w:t>
            </w:r>
            <w:r>
              <w:rPr>
                <w:sz w:val="21"/>
              </w:rPr>
              <w:t>可探测辐射</w:t>
            </w:r>
            <w:r>
              <w:rPr>
                <w:sz w:val="21"/>
              </w:rPr>
              <w:t>:Alpha（高于7.5 MeV）</w:t>
            </w:r>
            <w:r>
              <w:rPr>
                <w:sz w:val="21"/>
              </w:rPr>
              <w:t>；</w:t>
            </w:r>
            <w:r>
              <w:rPr>
                <w:sz w:val="21"/>
              </w:rPr>
              <w:t xml:space="preserve"> Beta（高于100 keV）</w:t>
            </w:r>
            <w:r>
              <w:rPr>
                <w:sz w:val="21"/>
              </w:rPr>
              <w:t>；</w:t>
            </w:r>
            <w:r>
              <w:rPr>
                <w:sz w:val="21"/>
              </w:rPr>
              <w:t>Gamma（高于7 keV）</w:t>
            </w:r>
          </w:p>
        </w:tc>
      </w:tr>
      <w:tr>
        <w:tc>
          <w:tcPr>
            <w:tcW w:type="dxa" w:w="2076"/>
          </w:tcPr>
          <w:p>
            <w:r>
              <w:rPr/>
              <w:t>▲</w:t>
            </w:r>
          </w:p>
        </w:tc>
        <w:tc>
          <w:tcPr>
            <w:tcW w:type="dxa" w:w="415"/>
          </w:tcPr>
          <w:p>
            <w:r>
              <w:rPr/>
              <w:t>3</w:t>
            </w:r>
          </w:p>
        </w:tc>
        <w:tc>
          <w:tcPr>
            <w:tcW w:type="dxa" w:w="5814"/>
          </w:tcPr>
          <w:p>
            <w:pPr>
              <w:jc w:val="both"/>
            </w:pPr>
            <w:r>
              <w:rPr>
                <w:sz w:val="21"/>
              </w:rPr>
              <w:t>2.</w:t>
            </w:r>
            <w:r>
              <w:rPr>
                <w:sz w:val="21"/>
              </w:rPr>
              <w:t>操作量程</w:t>
            </w:r>
            <w:r>
              <w:rPr>
                <w:sz w:val="21"/>
              </w:rPr>
              <w:t>至少包含</w:t>
            </w:r>
            <w:r>
              <w:rPr>
                <w:sz w:val="21"/>
              </w:rPr>
              <w:t>：</w:t>
            </w:r>
          </w:p>
          <w:p>
            <w:pPr>
              <w:jc w:val="both"/>
            </w:pPr>
            <w:r>
              <w:rPr>
                <w:sz w:val="21"/>
              </w:rPr>
              <w:t>(</w:t>
            </w:r>
            <w:r>
              <w:rPr>
                <w:sz w:val="21"/>
              </w:rPr>
              <w:t>0</w:t>
            </w:r>
            <w:r>
              <w:rPr>
                <w:sz w:val="21"/>
              </w:rPr>
              <w:t>~</w:t>
            </w:r>
            <w:r>
              <w:rPr>
                <w:sz w:val="21"/>
              </w:rPr>
              <w:t>5</w:t>
            </w:r>
            <w:r>
              <w:rPr>
                <w:sz w:val="21"/>
              </w:rPr>
              <w:t>）</w:t>
            </w:r>
            <w:r>
              <w:rPr>
                <w:sz w:val="21"/>
              </w:rPr>
              <w:t>mR/h或</w:t>
            </w:r>
            <w:r>
              <w:rPr>
                <w:sz w:val="21"/>
              </w:rPr>
              <w:t>(</w:t>
            </w:r>
            <w:r>
              <w:rPr>
                <w:sz w:val="21"/>
              </w:rPr>
              <w:t>0</w:t>
            </w:r>
            <w:r>
              <w:rPr>
                <w:sz w:val="21"/>
              </w:rPr>
              <w:t>~</w:t>
            </w:r>
            <w:r>
              <w:rPr>
                <w:sz w:val="21"/>
              </w:rPr>
              <w:t>50</w:t>
            </w:r>
            <w:r>
              <w:rPr>
                <w:sz w:val="21"/>
              </w:rPr>
              <w:t>）</w:t>
            </w:r>
            <w:r>
              <w:rPr>
                <w:sz w:val="21"/>
              </w:rPr>
              <w:t>µSv/h</w:t>
            </w:r>
          </w:p>
          <w:p>
            <w:pPr>
              <w:jc w:val="both"/>
            </w:pPr>
            <w:r>
              <w:rPr>
                <w:sz w:val="21"/>
              </w:rPr>
              <w:t>(</w:t>
            </w:r>
            <w:r>
              <w:rPr>
                <w:sz w:val="21"/>
              </w:rPr>
              <w:t>0</w:t>
            </w:r>
            <w:r>
              <w:rPr>
                <w:sz w:val="21"/>
              </w:rPr>
              <w:t>~</w:t>
            </w:r>
            <w:r>
              <w:rPr>
                <w:sz w:val="21"/>
              </w:rPr>
              <w:t>50</w:t>
            </w:r>
            <w:r>
              <w:rPr>
                <w:sz w:val="21"/>
              </w:rPr>
              <w:t>）</w:t>
            </w:r>
            <w:r>
              <w:rPr>
                <w:sz w:val="21"/>
              </w:rPr>
              <w:t>mR/h或</w:t>
            </w:r>
            <w:r>
              <w:rPr>
                <w:sz w:val="21"/>
              </w:rPr>
              <w:t>(</w:t>
            </w:r>
            <w:r>
              <w:rPr>
                <w:sz w:val="21"/>
              </w:rPr>
              <w:t>0</w:t>
            </w:r>
            <w:r>
              <w:rPr>
                <w:sz w:val="21"/>
              </w:rPr>
              <w:t>~</w:t>
            </w:r>
            <w:r>
              <w:rPr>
                <w:sz w:val="21"/>
              </w:rPr>
              <w:t>500</w:t>
            </w:r>
            <w:r>
              <w:rPr>
                <w:sz w:val="21"/>
              </w:rPr>
              <w:t>）</w:t>
            </w:r>
            <w:r>
              <w:rPr>
                <w:sz w:val="21"/>
              </w:rPr>
              <w:t>µSv/h</w:t>
            </w:r>
          </w:p>
          <w:p>
            <w:pPr>
              <w:jc w:val="both"/>
            </w:pPr>
            <w:r>
              <w:rPr>
                <w:sz w:val="21"/>
              </w:rPr>
              <w:t>(</w:t>
            </w:r>
            <w:r>
              <w:rPr>
                <w:sz w:val="21"/>
              </w:rPr>
              <w:t>0</w:t>
            </w:r>
            <w:r>
              <w:rPr>
                <w:sz w:val="21"/>
              </w:rPr>
              <w:t>~</w:t>
            </w:r>
            <w:r>
              <w:rPr>
                <w:sz w:val="21"/>
              </w:rPr>
              <w:t>500</w:t>
            </w:r>
            <w:r>
              <w:rPr>
                <w:sz w:val="21"/>
              </w:rPr>
              <w:t>）</w:t>
            </w:r>
            <w:r>
              <w:rPr>
                <w:sz w:val="21"/>
              </w:rPr>
              <w:t>mR/h或</w:t>
            </w:r>
            <w:r>
              <w:rPr>
                <w:sz w:val="21"/>
              </w:rPr>
              <w:t>(</w:t>
            </w:r>
            <w:r>
              <w:rPr>
                <w:sz w:val="21"/>
              </w:rPr>
              <w:t>0</w:t>
            </w:r>
            <w:r>
              <w:rPr>
                <w:sz w:val="21"/>
              </w:rPr>
              <w:t>~</w:t>
            </w:r>
            <w:r>
              <w:rPr>
                <w:sz w:val="21"/>
              </w:rPr>
              <w:t>5</w:t>
            </w:r>
            <w:r>
              <w:rPr>
                <w:sz w:val="21"/>
              </w:rPr>
              <w:t>）</w:t>
            </w:r>
            <w:r>
              <w:rPr>
                <w:sz w:val="21"/>
              </w:rPr>
              <w:t>mSv/h</w:t>
            </w:r>
          </w:p>
          <w:p>
            <w:pPr>
              <w:jc w:val="both"/>
            </w:pPr>
            <w:r>
              <w:rPr>
                <w:sz w:val="21"/>
              </w:rPr>
              <w:t>(</w:t>
            </w:r>
            <w:r>
              <w:rPr>
                <w:sz w:val="21"/>
              </w:rPr>
              <w:t>0</w:t>
            </w:r>
            <w:r>
              <w:rPr>
                <w:sz w:val="21"/>
              </w:rPr>
              <w:t>~</w:t>
            </w:r>
            <w:r>
              <w:rPr>
                <w:sz w:val="21"/>
              </w:rPr>
              <w:t>5</w:t>
            </w:r>
            <w:r>
              <w:rPr>
                <w:sz w:val="21"/>
              </w:rPr>
              <w:t>）</w:t>
            </w:r>
            <w:r>
              <w:rPr>
                <w:sz w:val="21"/>
              </w:rPr>
              <w:t>R/h或</w:t>
            </w:r>
            <w:r>
              <w:rPr>
                <w:sz w:val="21"/>
              </w:rPr>
              <w:t>(</w:t>
            </w:r>
            <w:r>
              <w:rPr>
                <w:sz w:val="21"/>
              </w:rPr>
              <w:t>0</w:t>
            </w:r>
            <w:r>
              <w:rPr>
                <w:sz w:val="21"/>
              </w:rPr>
              <w:t>~</w:t>
            </w:r>
            <w:r>
              <w:rPr>
                <w:sz w:val="21"/>
              </w:rPr>
              <w:t>50</w:t>
            </w:r>
            <w:r>
              <w:rPr>
                <w:sz w:val="21"/>
              </w:rPr>
              <w:t>）</w:t>
            </w:r>
            <w:r>
              <w:rPr>
                <w:sz w:val="21"/>
              </w:rPr>
              <w:t>mSv/h</w:t>
            </w:r>
          </w:p>
          <w:p>
            <w:r>
              <w:rPr>
                <w:sz w:val="21"/>
              </w:rPr>
              <w:t>(</w:t>
            </w:r>
            <w:r>
              <w:rPr>
                <w:sz w:val="21"/>
              </w:rPr>
              <w:t>0</w:t>
            </w:r>
            <w:r>
              <w:rPr>
                <w:sz w:val="21"/>
              </w:rPr>
              <w:t>~</w:t>
            </w:r>
            <w:r>
              <w:rPr>
                <w:sz w:val="21"/>
              </w:rPr>
              <w:t>50</w:t>
            </w:r>
            <w:r>
              <w:rPr>
                <w:sz w:val="21"/>
              </w:rPr>
              <w:t>）</w:t>
            </w:r>
            <w:r>
              <w:rPr>
                <w:sz w:val="21"/>
              </w:rPr>
              <w:t>R/h或</w:t>
            </w:r>
            <w:r>
              <w:rPr>
                <w:sz w:val="21"/>
              </w:rPr>
              <w:t>(</w:t>
            </w:r>
            <w:r>
              <w:rPr>
                <w:sz w:val="21"/>
              </w:rPr>
              <w:t>0</w:t>
            </w:r>
            <w:r>
              <w:rPr>
                <w:sz w:val="21"/>
              </w:rPr>
              <w:t>~</w:t>
            </w:r>
            <w:r>
              <w:rPr>
                <w:sz w:val="21"/>
              </w:rPr>
              <w:t>500</w:t>
            </w:r>
            <w:r>
              <w:rPr>
                <w:sz w:val="21"/>
              </w:rPr>
              <w:t>）</w:t>
            </w:r>
            <w:r>
              <w:rPr>
                <w:sz w:val="21"/>
              </w:rPr>
              <w:t>mSv/h</w:t>
            </w:r>
          </w:p>
        </w:tc>
      </w:tr>
      <w:tr>
        <w:tc>
          <w:tcPr>
            <w:tcW w:type="dxa" w:w="2076"/>
          </w:tcPr>
          <w:p>
            <w:r>
              <w:rPr/>
              <w:t>▲</w:t>
            </w:r>
          </w:p>
        </w:tc>
        <w:tc>
          <w:tcPr>
            <w:tcW w:type="dxa" w:w="415"/>
          </w:tcPr>
          <w:p>
            <w:r>
              <w:rPr/>
              <w:t>4</w:t>
            </w:r>
          </w:p>
        </w:tc>
        <w:tc>
          <w:tcPr>
            <w:tcW w:type="dxa" w:w="5814"/>
          </w:tcPr>
          <w:p>
            <w:r>
              <w:rPr>
                <w:sz w:val="21"/>
              </w:rPr>
              <w:t>3.准确度：在任何量程满刻度指示的</w:t>
            </w:r>
            <w:r>
              <w:rPr>
                <w:sz w:val="21"/>
              </w:rPr>
              <w:t>10%</w:t>
            </w:r>
            <w:r>
              <w:rPr>
                <w:sz w:val="21"/>
              </w:rPr>
              <w:t>－</w:t>
            </w:r>
            <w:r>
              <w:rPr>
                <w:sz w:val="21"/>
              </w:rPr>
              <w:t>100%</w:t>
            </w:r>
            <w:r>
              <w:rPr>
                <w:sz w:val="21"/>
              </w:rPr>
              <w:t>之间精度在</w:t>
            </w:r>
            <w:r>
              <w:rPr>
                <w:sz w:val="21"/>
              </w:rPr>
              <w:t>10%</w:t>
            </w:r>
            <w:r>
              <w:rPr>
                <w:sz w:val="21"/>
              </w:rPr>
              <w:t>以内</w:t>
            </w:r>
          </w:p>
        </w:tc>
      </w:tr>
      <w:tr>
        <w:tc>
          <w:tcPr>
            <w:tcW w:type="dxa" w:w="2076"/>
          </w:tcPr>
          <w:p/>
        </w:tc>
        <w:tc>
          <w:tcPr>
            <w:tcW w:type="dxa" w:w="415"/>
          </w:tcPr>
          <w:p>
            <w:r>
              <w:rPr/>
              <w:t>5</w:t>
            </w:r>
          </w:p>
        </w:tc>
        <w:tc>
          <w:tcPr>
            <w:tcW w:type="dxa" w:w="5814"/>
          </w:tcPr>
          <w:p>
            <w:pPr>
              <w:jc w:val="both"/>
            </w:pPr>
            <w:r>
              <w:rPr>
                <w:sz w:val="21"/>
              </w:rPr>
              <w:t>4.</w:t>
            </w:r>
            <w:r>
              <w:rPr>
                <w:sz w:val="21"/>
              </w:rPr>
              <w:t>响应时间</w:t>
            </w:r>
            <w:r>
              <w:rPr>
                <w:sz w:val="21"/>
              </w:rPr>
              <w:t>不劣于</w:t>
            </w:r>
            <w:r>
              <w:rPr>
                <w:sz w:val="21"/>
              </w:rPr>
              <w:t>：</w:t>
            </w:r>
          </w:p>
          <w:p>
            <w:pPr>
              <w:jc w:val="both"/>
            </w:pPr>
            <w:r>
              <w:rPr>
                <w:sz w:val="21"/>
              </w:rPr>
              <w:t>(</w:t>
            </w:r>
            <w:r>
              <w:rPr>
                <w:sz w:val="21"/>
              </w:rPr>
              <w:t>0</w:t>
            </w:r>
            <w:r>
              <w:rPr>
                <w:sz w:val="21"/>
              </w:rPr>
              <w:t>~</w:t>
            </w:r>
            <w:r>
              <w:rPr>
                <w:sz w:val="21"/>
              </w:rPr>
              <w:t>5</w:t>
            </w:r>
            <w:r>
              <w:rPr>
                <w:sz w:val="21"/>
              </w:rPr>
              <w:t>）</w:t>
            </w:r>
            <w:r>
              <w:rPr>
                <w:sz w:val="21"/>
              </w:rPr>
              <w:t>mR/h或</w:t>
            </w:r>
            <w:r>
              <w:rPr>
                <w:sz w:val="21"/>
              </w:rPr>
              <w:t>(</w:t>
            </w:r>
            <w:r>
              <w:rPr>
                <w:sz w:val="21"/>
              </w:rPr>
              <w:t>0</w:t>
            </w:r>
            <w:r>
              <w:rPr>
                <w:sz w:val="21"/>
              </w:rPr>
              <w:t>~</w:t>
            </w:r>
            <w:r>
              <w:rPr>
                <w:sz w:val="21"/>
              </w:rPr>
              <w:t>50</w:t>
            </w:r>
            <w:r>
              <w:rPr>
                <w:sz w:val="21"/>
              </w:rPr>
              <w:t>）</w:t>
            </w:r>
            <w:r>
              <w:rPr>
                <w:sz w:val="21"/>
              </w:rPr>
              <w:t>µSv/h</w:t>
            </w:r>
            <w:r>
              <w:rPr>
                <w:sz w:val="21"/>
              </w:rPr>
              <w:t>:</w:t>
            </w:r>
            <w:r>
              <w:rPr>
                <w:sz w:val="21"/>
              </w:rPr>
              <w:t>8</w:t>
            </w:r>
            <w:r>
              <w:rPr>
                <w:sz w:val="21"/>
              </w:rPr>
              <w:t>s</w:t>
            </w:r>
          </w:p>
          <w:p>
            <w:pPr>
              <w:jc w:val="both"/>
            </w:pPr>
            <w:r>
              <w:rPr>
                <w:sz w:val="21"/>
              </w:rPr>
              <w:t>(</w:t>
            </w:r>
            <w:r>
              <w:rPr>
                <w:sz w:val="21"/>
              </w:rPr>
              <w:t>0</w:t>
            </w:r>
            <w:r>
              <w:rPr>
                <w:sz w:val="21"/>
              </w:rPr>
              <w:t>~</w:t>
            </w:r>
            <w:r>
              <w:rPr>
                <w:sz w:val="21"/>
              </w:rPr>
              <w:t>50</w:t>
            </w:r>
            <w:r>
              <w:rPr>
                <w:sz w:val="21"/>
              </w:rPr>
              <w:t>）</w:t>
            </w:r>
            <w:r>
              <w:rPr>
                <w:sz w:val="21"/>
              </w:rPr>
              <w:t>mR/h或</w:t>
            </w:r>
            <w:r>
              <w:rPr>
                <w:sz w:val="21"/>
              </w:rPr>
              <w:t>(</w:t>
            </w:r>
            <w:r>
              <w:rPr>
                <w:sz w:val="21"/>
              </w:rPr>
              <w:t>0</w:t>
            </w:r>
            <w:r>
              <w:rPr>
                <w:sz w:val="21"/>
              </w:rPr>
              <w:t>~</w:t>
            </w:r>
            <w:r>
              <w:rPr>
                <w:sz w:val="21"/>
              </w:rPr>
              <w:t>500</w:t>
            </w:r>
            <w:r>
              <w:rPr>
                <w:sz w:val="21"/>
              </w:rPr>
              <w:t>）</w:t>
            </w:r>
            <w:r>
              <w:rPr>
                <w:sz w:val="21"/>
              </w:rPr>
              <w:t>µSv/h</w:t>
            </w:r>
            <w:r>
              <w:rPr>
                <w:sz w:val="21"/>
              </w:rPr>
              <w:t>:</w:t>
            </w:r>
            <w:r>
              <w:rPr>
                <w:sz w:val="21"/>
              </w:rPr>
              <w:t>2.5</w:t>
            </w:r>
            <w:r>
              <w:rPr>
                <w:sz w:val="21"/>
              </w:rPr>
              <w:t>s</w:t>
            </w:r>
          </w:p>
          <w:p>
            <w:pPr>
              <w:jc w:val="both"/>
            </w:pPr>
            <w:r>
              <w:rPr>
                <w:sz w:val="21"/>
              </w:rPr>
              <w:t>(</w:t>
            </w:r>
            <w:r>
              <w:rPr>
                <w:sz w:val="21"/>
              </w:rPr>
              <w:t>0</w:t>
            </w:r>
            <w:r>
              <w:rPr>
                <w:sz w:val="21"/>
              </w:rPr>
              <w:t>~</w:t>
            </w:r>
            <w:r>
              <w:rPr>
                <w:sz w:val="21"/>
              </w:rPr>
              <w:t>500</w:t>
            </w:r>
            <w:r>
              <w:rPr>
                <w:sz w:val="21"/>
              </w:rPr>
              <w:t>）</w:t>
            </w:r>
            <w:r>
              <w:rPr>
                <w:sz w:val="21"/>
              </w:rPr>
              <w:t>mR/h或</w:t>
            </w:r>
            <w:r>
              <w:rPr>
                <w:sz w:val="21"/>
              </w:rPr>
              <w:t>(</w:t>
            </w:r>
            <w:r>
              <w:rPr>
                <w:sz w:val="21"/>
              </w:rPr>
              <w:t>0</w:t>
            </w:r>
            <w:r>
              <w:rPr>
                <w:sz w:val="21"/>
              </w:rPr>
              <w:t>~</w:t>
            </w:r>
            <w:r>
              <w:rPr>
                <w:sz w:val="21"/>
              </w:rPr>
              <w:t>5</w:t>
            </w:r>
            <w:r>
              <w:rPr>
                <w:sz w:val="21"/>
              </w:rPr>
              <w:t>）</w:t>
            </w:r>
            <w:r>
              <w:rPr>
                <w:sz w:val="21"/>
              </w:rPr>
              <w:t>mSv/h</w:t>
            </w:r>
            <w:r>
              <w:rPr>
                <w:sz w:val="21"/>
              </w:rPr>
              <w:t>:</w:t>
            </w:r>
            <w:r>
              <w:rPr>
                <w:sz w:val="21"/>
              </w:rPr>
              <w:t>2</w:t>
            </w:r>
            <w:r>
              <w:rPr>
                <w:sz w:val="21"/>
              </w:rPr>
              <w:t>s</w:t>
            </w:r>
          </w:p>
          <w:p>
            <w:pPr>
              <w:jc w:val="both"/>
            </w:pPr>
            <w:r>
              <w:rPr>
                <w:sz w:val="21"/>
              </w:rPr>
              <w:t>(</w:t>
            </w:r>
            <w:r>
              <w:rPr>
                <w:sz w:val="21"/>
              </w:rPr>
              <w:t>0</w:t>
            </w:r>
            <w:r>
              <w:rPr>
                <w:sz w:val="21"/>
              </w:rPr>
              <w:t>~</w:t>
            </w:r>
            <w:r>
              <w:rPr>
                <w:sz w:val="21"/>
              </w:rPr>
              <w:t>5</w:t>
            </w:r>
            <w:r>
              <w:rPr>
                <w:sz w:val="21"/>
              </w:rPr>
              <w:t>）</w:t>
            </w:r>
            <w:r>
              <w:rPr>
                <w:sz w:val="21"/>
              </w:rPr>
              <w:t>R/h或</w:t>
            </w:r>
            <w:r>
              <w:rPr>
                <w:sz w:val="21"/>
              </w:rPr>
              <w:t>(</w:t>
            </w:r>
            <w:r>
              <w:rPr>
                <w:sz w:val="21"/>
              </w:rPr>
              <w:t>0</w:t>
            </w:r>
            <w:r>
              <w:rPr>
                <w:sz w:val="21"/>
              </w:rPr>
              <w:t>~</w:t>
            </w:r>
            <w:r>
              <w:rPr>
                <w:sz w:val="21"/>
              </w:rPr>
              <w:t>50</w:t>
            </w:r>
            <w:r>
              <w:rPr>
                <w:sz w:val="21"/>
              </w:rPr>
              <w:t>）</w:t>
            </w:r>
            <w:r>
              <w:rPr>
                <w:sz w:val="21"/>
              </w:rPr>
              <w:t>mSv/h</w:t>
            </w:r>
            <w:r>
              <w:rPr>
                <w:sz w:val="21"/>
              </w:rPr>
              <w:t>:</w:t>
            </w:r>
            <w:r>
              <w:rPr>
                <w:sz w:val="21"/>
              </w:rPr>
              <w:t>2</w:t>
            </w:r>
            <w:r>
              <w:rPr>
                <w:sz w:val="21"/>
              </w:rPr>
              <w:t>s</w:t>
            </w:r>
          </w:p>
          <w:p>
            <w:r>
              <w:rPr>
                <w:sz w:val="21"/>
              </w:rPr>
              <w:t>(</w:t>
            </w:r>
            <w:r>
              <w:rPr>
                <w:sz w:val="21"/>
              </w:rPr>
              <w:t>0</w:t>
            </w:r>
            <w:r>
              <w:rPr>
                <w:sz w:val="21"/>
              </w:rPr>
              <w:t>~</w:t>
            </w:r>
            <w:r>
              <w:rPr>
                <w:sz w:val="21"/>
              </w:rPr>
              <w:t>50</w:t>
            </w:r>
            <w:r>
              <w:rPr>
                <w:sz w:val="21"/>
              </w:rPr>
              <w:t>）</w:t>
            </w:r>
            <w:r>
              <w:rPr>
                <w:sz w:val="21"/>
              </w:rPr>
              <w:t>R/h或</w:t>
            </w:r>
            <w:r>
              <w:rPr>
                <w:sz w:val="21"/>
              </w:rPr>
              <w:t>(</w:t>
            </w:r>
            <w:r>
              <w:rPr>
                <w:sz w:val="21"/>
              </w:rPr>
              <w:t>0</w:t>
            </w:r>
            <w:r>
              <w:rPr>
                <w:sz w:val="21"/>
              </w:rPr>
              <w:t>~</w:t>
            </w:r>
            <w:r>
              <w:rPr>
                <w:sz w:val="21"/>
              </w:rPr>
              <w:t>500</w:t>
            </w:r>
            <w:r>
              <w:rPr>
                <w:sz w:val="21"/>
              </w:rPr>
              <w:t>）</w:t>
            </w:r>
            <w:r>
              <w:rPr>
                <w:sz w:val="21"/>
              </w:rPr>
              <w:t>mSv/h</w:t>
            </w:r>
            <w:r>
              <w:rPr>
                <w:sz w:val="21"/>
              </w:rPr>
              <w:t>:</w:t>
            </w:r>
            <w:r>
              <w:rPr>
                <w:sz w:val="21"/>
              </w:rPr>
              <w:t>2</w:t>
            </w:r>
            <w:r>
              <w:rPr>
                <w:sz w:val="21"/>
              </w:rPr>
              <w:t>s</w:t>
            </w:r>
          </w:p>
        </w:tc>
      </w:tr>
      <w:tr>
        <w:tc>
          <w:tcPr>
            <w:tcW w:type="dxa" w:w="2076"/>
          </w:tcPr>
          <w:p/>
        </w:tc>
        <w:tc>
          <w:tcPr>
            <w:tcW w:type="dxa" w:w="415"/>
          </w:tcPr>
          <w:p>
            <w:r>
              <w:rPr/>
              <w:t>6</w:t>
            </w:r>
          </w:p>
        </w:tc>
        <w:tc>
          <w:tcPr>
            <w:tcW w:type="dxa" w:w="5814"/>
          </w:tcPr>
          <w:p>
            <w:r>
              <w:rPr>
                <w:sz w:val="21"/>
              </w:rPr>
              <w:t>5.</w:t>
            </w:r>
            <w:r>
              <w:rPr>
                <w:sz w:val="21"/>
              </w:rPr>
              <w:t>操控及自动特性</w:t>
            </w:r>
            <w:r>
              <w:rPr>
                <w:sz w:val="21"/>
              </w:rPr>
              <w:t>应包括</w:t>
            </w:r>
            <w:r>
              <w:rPr>
                <w:sz w:val="21"/>
              </w:rPr>
              <w:t>：</w:t>
            </w:r>
            <w:r>
              <w:rPr>
                <w:sz w:val="21"/>
              </w:rPr>
              <w:t>开机</w:t>
            </w:r>
            <w:r>
              <w:rPr>
                <w:sz w:val="21"/>
              </w:rPr>
              <w:t>/关机</w:t>
            </w:r>
            <w:r>
              <w:rPr>
                <w:sz w:val="21"/>
              </w:rPr>
              <w:t>、</w:t>
            </w:r>
            <w:r>
              <w:rPr>
                <w:sz w:val="21"/>
              </w:rPr>
              <w:t>模式</w:t>
            </w:r>
            <w:r>
              <w:rPr>
                <w:sz w:val="21"/>
              </w:rPr>
              <w:t>、</w:t>
            </w:r>
            <w:r>
              <w:rPr>
                <w:sz w:val="21"/>
              </w:rPr>
              <w:t>动清零、自动量程及自动点亮背景灯</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便携音响设备声级测试系统</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
            <w:pPr>
              <w:jc w:val="left"/>
            </w:pPr>
            <w:r>
              <w:rPr>
                <w:sz w:val="21"/>
              </w:rPr>
              <w:t>一、</w:t>
            </w:r>
            <w:r>
              <w:rPr>
                <w:sz w:val="21"/>
              </w:rPr>
              <w:t>满足标准：</w:t>
            </w:r>
          </w:p>
          <w:p>
            <w:r>
              <w:rPr>
                <w:sz w:val="21"/>
              </w:rPr>
              <w:t>符合</w:t>
            </w:r>
            <w:r>
              <w:rPr>
                <w:sz w:val="21"/>
              </w:rPr>
              <w:t>EN 50332-1、EN 50332-2、EN 50332-3</w:t>
            </w:r>
            <w:r>
              <w:rPr>
                <w:sz w:val="21"/>
              </w:rPr>
              <w:t>、</w:t>
            </w:r>
            <w:r>
              <w:rPr>
                <w:sz w:val="21"/>
              </w:rPr>
              <w:t>I</w:t>
            </w:r>
            <w:r>
              <w:rPr>
                <w:sz w:val="21"/>
              </w:rPr>
              <w:t>EC</w:t>
            </w:r>
            <w:r>
              <w:rPr>
                <w:sz w:val="21"/>
              </w:rPr>
              <w:t xml:space="preserve"> </w:t>
            </w:r>
            <w:r>
              <w:rPr>
                <w:sz w:val="21"/>
              </w:rPr>
              <w:t>62368-1</w:t>
            </w:r>
            <w:r>
              <w:rPr>
                <w:sz w:val="21"/>
              </w:rPr>
              <w:t>、</w:t>
            </w:r>
            <w:r>
              <w:rPr>
                <w:sz w:val="21"/>
              </w:rPr>
              <w:t>GB</w:t>
            </w:r>
            <w:r>
              <w:rPr>
                <w:sz w:val="21"/>
              </w:rPr>
              <w:t xml:space="preserve"> </w:t>
            </w:r>
            <w:r>
              <w:rPr>
                <w:sz w:val="21"/>
              </w:rPr>
              <w:t>4943</w:t>
            </w:r>
            <w:r>
              <w:rPr>
                <w:sz w:val="21"/>
              </w:rPr>
              <w:t>.</w:t>
            </w:r>
            <w:r>
              <w:rPr>
                <w:sz w:val="21"/>
              </w:rPr>
              <w:t>1-2022</w:t>
            </w:r>
            <w:r>
              <w:rPr>
                <w:sz w:val="21"/>
              </w:rPr>
              <w:t>、</w:t>
            </w:r>
            <w:r>
              <w:rPr>
                <w:sz w:val="21"/>
              </w:rPr>
              <w:t>IEC: 60318-4</w:t>
            </w:r>
            <w:r>
              <w:rPr>
                <w:sz w:val="21"/>
              </w:rPr>
              <w:t>、</w:t>
            </w:r>
            <w:r>
              <w:rPr>
                <w:sz w:val="21"/>
              </w:rPr>
              <w:t>60318-7</w:t>
            </w:r>
            <w:r>
              <w:rPr>
                <w:sz w:val="21"/>
              </w:rPr>
              <w:t>、</w:t>
            </w:r>
            <w:r>
              <w:rPr>
                <w:sz w:val="21"/>
              </w:rPr>
              <w:t>ITU-T Rec. P.57 Type 3.3</w:t>
            </w:r>
            <w:r>
              <w:rPr>
                <w:sz w:val="21"/>
              </w:rPr>
              <w:t>、</w:t>
            </w:r>
            <w:r>
              <w:rPr>
                <w:sz w:val="21"/>
              </w:rPr>
              <w:t xml:space="preserve"> ITU-T Rec.P.58</w:t>
            </w:r>
            <w:r>
              <w:rPr>
                <w:sz w:val="21"/>
              </w:rPr>
              <w:t>等标准的要求</w:t>
            </w:r>
          </w:p>
          <w:p/>
        </w:tc>
      </w:tr>
      <w:tr>
        <w:tc>
          <w:tcPr>
            <w:tcW w:type="dxa" w:w="2076"/>
          </w:tcPr>
          <w:p>
            <w:r>
              <w:rPr/>
              <w:t>▲</w:t>
            </w:r>
          </w:p>
        </w:tc>
        <w:tc>
          <w:tcPr>
            <w:tcW w:type="dxa" w:w="415"/>
          </w:tcPr>
          <w:p>
            <w:r>
              <w:rPr/>
              <w:t>2</w:t>
            </w:r>
          </w:p>
        </w:tc>
        <w:tc>
          <w:tcPr>
            <w:tcW w:type="dxa" w:w="5814"/>
          </w:tcPr>
          <w:p>
            <w:pPr>
              <w:jc w:val="left"/>
            </w:pPr>
            <w:r>
              <w:rPr>
                <w:sz w:val="21"/>
              </w:rPr>
              <w:t>二、主要技术参数：</w:t>
            </w:r>
          </w:p>
          <w:p>
            <w:r>
              <w:rPr>
                <w:sz w:val="21"/>
              </w:rPr>
              <w:t>1.声学测试模块平台：应可实现检测耳机及麦克风频响曲线、失真曲线、灵敏度、阻抗曲线、</w:t>
            </w:r>
            <w:r>
              <w:rPr>
                <w:sz w:val="21"/>
              </w:rPr>
              <w:t>ACZ</w:t>
            </w:r>
            <w:r>
              <w:rPr>
                <w:sz w:val="21"/>
              </w:rPr>
              <w:t>、极性、相位曲线、延时、异常音、感知音等相关特性；具有模拟万用表</w:t>
            </w:r>
            <w:r>
              <w:rPr>
                <w:sz w:val="21"/>
              </w:rPr>
              <w:t>/信号发生器，F</w:t>
            </w:r>
            <w:r>
              <w:rPr>
                <w:sz w:val="21"/>
              </w:rPr>
              <w:t>FT,RTA</w:t>
            </w:r>
            <w:r>
              <w:rPr>
                <w:sz w:val="21"/>
              </w:rPr>
              <w:t>功能；可按</w:t>
            </w:r>
            <w:r>
              <w:rPr>
                <w:sz w:val="21"/>
              </w:rPr>
              <w:t>GB 4943.1-2022的要求进行自动RS1\RS2\RS3分级</w:t>
            </w:r>
          </w:p>
        </w:tc>
      </w:tr>
      <w:tr>
        <w:tc>
          <w:tcPr>
            <w:tcW w:type="dxa" w:w="2076"/>
          </w:tcPr>
          <w:p>
            <w:r>
              <w:rPr/>
              <w:t>▲</w:t>
            </w:r>
          </w:p>
        </w:tc>
        <w:tc>
          <w:tcPr>
            <w:tcW w:type="dxa" w:w="415"/>
          </w:tcPr>
          <w:p>
            <w:r>
              <w:rPr/>
              <w:t>3</w:t>
            </w:r>
          </w:p>
        </w:tc>
        <w:tc>
          <w:tcPr>
            <w:tcW w:type="dxa" w:w="5814"/>
          </w:tcPr>
          <w:p>
            <w:r>
              <w:rPr>
                <w:sz w:val="21"/>
              </w:rPr>
              <w:t>2.人头躯干模拟器：至少</w:t>
            </w:r>
            <w:r>
              <w:rPr>
                <w:sz w:val="21"/>
              </w:rPr>
              <w:t>包含头和躯干、耳廓模拟器、</w:t>
            </w:r>
            <w:r>
              <w:rPr>
                <w:sz w:val="21"/>
              </w:rPr>
              <w:t>左右耳及软耳朵和仿真人嘴</w:t>
            </w:r>
            <w:r>
              <w:rPr>
                <w:sz w:val="21"/>
              </w:rPr>
              <w:t>；尺寸应符合</w:t>
            </w:r>
            <w:r>
              <w:rPr>
                <w:sz w:val="21"/>
              </w:rPr>
              <w:t>IEC 60318-7:2022</w:t>
            </w:r>
            <w:r>
              <w:rPr>
                <w:sz w:val="21"/>
              </w:rPr>
              <w:t>表</w:t>
            </w:r>
            <w:r>
              <w:rPr>
                <w:sz w:val="21"/>
              </w:rPr>
              <w:t>1</w:t>
            </w:r>
            <w:r>
              <w:rPr>
                <w:sz w:val="21"/>
              </w:rPr>
              <w:t>、表</w:t>
            </w:r>
            <w:r>
              <w:rPr>
                <w:sz w:val="21"/>
              </w:rPr>
              <w:t>2</w:t>
            </w:r>
            <w:r>
              <w:rPr>
                <w:sz w:val="21"/>
              </w:rPr>
              <w:t>和表</w:t>
            </w:r>
            <w:r>
              <w:rPr>
                <w:sz w:val="21"/>
              </w:rPr>
              <w:t>3</w:t>
            </w:r>
            <w:r>
              <w:rPr>
                <w:sz w:val="21"/>
              </w:rPr>
              <w:t>的要求；材料应符合</w:t>
            </w:r>
            <w:r>
              <w:rPr>
                <w:sz w:val="21"/>
              </w:rPr>
              <w:t>IEC 60318-7:2022</w:t>
            </w:r>
            <w:r>
              <w:rPr>
                <w:sz w:val="21"/>
              </w:rPr>
              <w:t>中</w:t>
            </w:r>
            <w:r>
              <w:rPr>
                <w:sz w:val="21"/>
              </w:rPr>
              <w:t>4.2.5</w:t>
            </w:r>
            <w:r>
              <w:rPr>
                <w:sz w:val="21"/>
              </w:rPr>
              <w:t>要求；声学特性应符合</w:t>
            </w:r>
            <w:r>
              <w:rPr>
                <w:sz w:val="21"/>
              </w:rPr>
              <w:t>IEC 60318-7:2022</w:t>
            </w:r>
            <w:r>
              <w:rPr>
                <w:sz w:val="21"/>
              </w:rPr>
              <w:t>表</w:t>
            </w:r>
            <w:r>
              <w:rPr>
                <w:sz w:val="21"/>
              </w:rPr>
              <w:t>4</w:t>
            </w:r>
            <w:r>
              <w:rPr>
                <w:sz w:val="21"/>
              </w:rPr>
              <w:t>、表</w:t>
            </w:r>
            <w:r>
              <w:rPr>
                <w:sz w:val="21"/>
              </w:rPr>
              <w:t>5</w:t>
            </w:r>
            <w:r>
              <w:rPr>
                <w:sz w:val="21"/>
              </w:rPr>
              <w:t>和表</w:t>
            </w:r>
            <w:r>
              <w:rPr>
                <w:sz w:val="21"/>
              </w:rPr>
              <w:t>6</w:t>
            </w:r>
            <w:r>
              <w:rPr>
                <w:sz w:val="21"/>
              </w:rPr>
              <w:t>的要求；具有</w:t>
            </w:r>
            <w:r>
              <w:rPr>
                <w:sz w:val="21"/>
              </w:rPr>
              <w:t>I</w:t>
            </w:r>
            <w:r>
              <w:rPr>
                <w:sz w:val="21"/>
              </w:rPr>
              <w:t>CP</w:t>
            </w:r>
            <w:r>
              <w:rPr>
                <w:sz w:val="21"/>
              </w:rPr>
              <w:t>供电方式，</w:t>
            </w:r>
            <w:r>
              <w:rPr>
                <w:sz w:val="21"/>
              </w:rPr>
              <w:t>B</w:t>
            </w:r>
            <w:r>
              <w:rPr>
                <w:sz w:val="21"/>
              </w:rPr>
              <w:t>NC</w:t>
            </w:r>
            <w:r>
              <w:rPr>
                <w:sz w:val="21"/>
              </w:rPr>
              <w:t>接口</w:t>
            </w:r>
          </w:p>
        </w:tc>
      </w:tr>
      <w:tr>
        <w:tc>
          <w:tcPr>
            <w:tcW w:type="dxa" w:w="2076"/>
          </w:tcPr>
          <w:p>
            <w:r>
              <w:rPr/>
              <w:t>▲</w:t>
            </w:r>
          </w:p>
        </w:tc>
        <w:tc>
          <w:tcPr>
            <w:tcW w:type="dxa" w:w="415"/>
          </w:tcPr>
          <w:p>
            <w:r>
              <w:rPr/>
              <w:t>4</w:t>
            </w:r>
          </w:p>
        </w:tc>
        <w:tc>
          <w:tcPr>
            <w:tcW w:type="dxa" w:w="5814"/>
          </w:tcPr>
          <w:p>
            <w:r>
              <w:rPr>
                <w:sz w:val="21"/>
              </w:rPr>
              <w:t>3.仿真人左右耳：</w:t>
            </w:r>
            <w:r>
              <w:rPr>
                <w:sz w:val="21"/>
              </w:rPr>
              <w:t>符合</w:t>
            </w:r>
            <w:r>
              <w:rPr>
                <w:sz w:val="21"/>
              </w:rPr>
              <w:t>IEC 60318-4:2010</w:t>
            </w:r>
            <w:r>
              <w:rPr>
                <w:sz w:val="21"/>
              </w:rPr>
              <w:t>的要求，</w:t>
            </w:r>
            <w:r>
              <w:rPr>
                <w:sz w:val="21"/>
              </w:rPr>
              <w:t>频宽至少：</w:t>
            </w:r>
            <w:r>
              <w:rPr>
                <w:sz w:val="21"/>
              </w:rPr>
              <w:t>2</w:t>
            </w:r>
            <w:r>
              <w:rPr>
                <w:sz w:val="21"/>
              </w:rPr>
              <w:t>0H</w:t>
            </w:r>
            <w:r>
              <w:rPr>
                <w:sz w:val="21"/>
              </w:rPr>
              <w:t>z -</w:t>
            </w:r>
            <w:r>
              <w:rPr>
                <w:sz w:val="21"/>
              </w:rPr>
              <w:t>20000H</w:t>
            </w:r>
            <w:r>
              <w:rPr>
                <w:sz w:val="21"/>
              </w:rPr>
              <w:t>z；灵敏度不劣于：1</w:t>
            </w:r>
            <w:r>
              <w:rPr>
                <w:sz w:val="21"/>
              </w:rPr>
              <w:t>2.5</w:t>
            </w:r>
            <w:r>
              <w:rPr>
                <w:sz w:val="21"/>
              </w:rPr>
              <w:t>mV/Pa</w:t>
            </w:r>
            <w:r>
              <w:rPr>
                <w:sz w:val="21"/>
              </w:rPr>
              <w:t>；动态范围至少：</w:t>
            </w:r>
            <w:r>
              <w:rPr>
                <w:sz w:val="21"/>
              </w:rPr>
              <w:t>2</w:t>
            </w:r>
            <w:r>
              <w:rPr>
                <w:sz w:val="21"/>
              </w:rPr>
              <w:t>0</w:t>
            </w:r>
            <w:r>
              <w:rPr>
                <w:sz w:val="21"/>
              </w:rPr>
              <w:t>d</w:t>
            </w:r>
            <w:r>
              <w:rPr>
                <w:sz w:val="21"/>
              </w:rPr>
              <w:t>B</w:t>
            </w:r>
            <w:r>
              <w:rPr>
                <w:sz w:val="21"/>
              </w:rPr>
              <w:t xml:space="preserve"> </w:t>
            </w:r>
            <w:r>
              <w:rPr>
                <w:sz w:val="21"/>
              </w:rPr>
              <w:t>-</w:t>
            </w:r>
            <w:r>
              <w:rPr>
                <w:sz w:val="21"/>
              </w:rPr>
              <w:t>160</w:t>
            </w:r>
            <w:r>
              <w:rPr>
                <w:sz w:val="21"/>
              </w:rPr>
              <w:t>d</w:t>
            </w:r>
            <w:r>
              <w:rPr>
                <w:sz w:val="21"/>
              </w:rPr>
              <w:t>B</w:t>
            </w:r>
            <w:r>
              <w:rPr>
                <w:sz w:val="21"/>
              </w:rPr>
              <w:t>；本底：</w:t>
            </w:r>
            <w:r>
              <w:rPr>
                <w:sz w:val="21"/>
              </w:rPr>
              <w:t>≤2</w:t>
            </w:r>
            <w:r>
              <w:rPr>
                <w:sz w:val="21"/>
              </w:rPr>
              <w:t>0</w:t>
            </w:r>
            <w:r>
              <w:rPr>
                <w:sz w:val="21"/>
              </w:rPr>
              <w:t>d</w:t>
            </w:r>
            <w:r>
              <w:rPr>
                <w:sz w:val="21"/>
              </w:rPr>
              <w:t>BA</w:t>
            </w:r>
            <w:r>
              <w:rPr>
                <w:sz w:val="21"/>
              </w:rPr>
              <w:t>；</w:t>
            </w:r>
            <w:r>
              <w:rPr>
                <w:sz w:val="21"/>
              </w:rPr>
              <w:t>频率范围（</w:t>
            </w:r>
            <w:r>
              <w:rPr>
                <w:sz w:val="21"/>
              </w:rPr>
              <w:t>±1 dB)</w:t>
            </w:r>
            <w:r>
              <w:rPr>
                <w:sz w:val="21"/>
              </w:rPr>
              <w:t>至少：</w:t>
            </w:r>
            <w:r>
              <w:rPr>
                <w:sz w:val="21"/>
              </w:rPr>
              <w:t>5 H</w:t>
            </w:r>
            <w:r>
              <w:rPr>
                <w:sz w:val="21"/>
              </w:rPr>
              <w:t>z-</w:t>
            </w:r>
            <w:r>
              <w:rPr>
                <w:sz w:val="21"/>
              </w:rPr>
              <w:t>12.5</w:t>
            </w:r>
            <w:r>
              <w:rPr>
                <w:sz w:val="21"/>
              </w:rPr>
              <w:t>kHz；</w:t>
            </w:r>
            <w:r>
              <w:rPr>
                <w:sz w:val="21"/>
              </w:rPr>
              <w:t>频率范围（</w:t>
            </w:r>
            <w:r>
              <w:rPr>
                <w:sz w:val="21"/>
              </w:rPr>
              <w:t>±2dB)</w:t>
            </w:r>
            <w:r>
              <w:rPr>
                <w:sz w:val="21"/>
              </w:rPr>
              <w:t>至少：</w:t>
            </w:r>
            <w:r>
              <w:rPr>
                <w:sz w:val="21"/>
              </w:rPr>
              <w:t>3</w:t>
            </w:r>
            <w:r>
              <w:rPr>
                <w:sz w:val="21"/>
              </w:rPr>
              <w:t>.</w:t>
            </w:r>
            <w:r>
              <w:rPr>
                <w:sz w:val="21"/>
              </w:rPr>
              <w:t>5H</w:t>
            </w:r>
            <w:r>
              <w:rPr>
                <w:sz w:val="21"/>
              </w:rPr>
              <w:t>z-</w:t>
            </w:r>
            <w:r>
              <w:rPr>
                <w:sz w:val="21"/>
              </w:rPr>
              <w:t>20</w:t>
            </w:r>
            <w:r>
              <w:rPr>
                <w:sz w:val="21"/>
              </w:rPr>
              <w:t>kHz</w:t>
            </w:r>
          </w:p>
        </w:tc>
      </w:tr>
      <w:tr>
        <w:tc>
          <w:tcPr>
            <w:tcW w:type="dxa" w:w="2076"/>
          </w:tcPr>
          <w:p>
            <w:r>
              <w:rPr/>
              <w:t>▲</w:t>
            </w:r>
          </w:p>
        </w:tc>
        <w:tc>
          <w:tcPr>
            <w:tcW w:type="dxa" w:w="415"/>
          </w:tcPr>
          <w:p>
            <w:r>
              <w:rPr/>
              <w:t>5</w:t>
            </w:r>
          </w:p>
        </w:tc>
        <w:tc>
          <w:tcPr>
            <w:tcW w:type="dxa" w:w="5814"/>
          </w:tcPr>
          <w:p>
            <w:r>
              <w:rPr>
                <w:sz w:val="21"/>
              </w:rPr>
              <w:t>4.仿真人嘴：频宽至少1</w:t>
            </w:r>
            <w:r>
              <w:rPr>
                <w:sz w:val="21"/>
              </w:rPr>
              <w:t>00H</w:t>
            </w:r>
            <w:r>
              <w:rPr>
                <w:sz w:val="21"/>
              </w:rPr>
              <w:t>z-</w:t>
            </w:r>
            <w:r>
              <w:rPr>
                <w:sz w:val="21"/>
              </w:rPr>
              <w:t>10</w:t>
            </w:r>
            <w:r>
              <w:rPr>
                <w:sz w:val="21"/>
              </w:rPr>
              <w:t>kHz；平坦度：不劣于1</w:t>
            </w:r>
            <w:r>
              <w:rPr>
                <w:sz w:val="21"/>
              </w:rPr>
              <w:t>5</w:t>
            </w:r>
            <w:r>
              <w:rPr>
                <w:sz w:val="21"/>
              </w:rPr>
              <w:t>d</w:t>
            </w:r>
            <w:r>
              <w:rPr>
                <w:sz w:val="21"/>
              </w:rPr>
              <w:t>B</w:t>
            </w:r>
            <w:r>
              <w:rPr>
                <w:sz w:val="21"/>
              </w:rPr>
              <w:t>；功率：</w:t>
            </w:r>
            <w:r>
              <w:rPr>
                <w:sz w:val="21"/>
              </w:rPr>
              <w:t>≥1</w:t>
            </w:r>
            <w:r>
              <w:rPr>
                <w:sz w:val="21"/>
              </w:rPr>
              <w:t>0W</w:t>
            </w:r>
            <w:r>
              <w:rPr>
                <w:sz w:val="21"/>
              </w:rPr>
              <w:t>（</w:t>
            </w:r>
            <w:r>
              <w:rPr>
                <w:sz w:val="21"/>
              </w:rPr>
              <w:t>8欧姆）；B</w:t>
            </w:r>
            <w:r>
              <w:rPr>
                <w:sz w:val="21"/>
              </w:rPr>
              <w:t>NC</w:t>
            </w:r>
            <w:r>
              <w:rPr>
                <w:sz w:val="21"/>
              </w:rPr>
              <w:t>接口</w:t>
            </w:r>
          </w:p>
        </w:tc>
      </w:tr>
      <w:tr>
        <w:tc>
          <w:tcPr>
            <w:tcW w:type="dxa" w:w="2076"/>
          </w:tcPr>
          <w:p>
            <w:r>
              <w:rPr/>
              <w:t>▲</w:t>
            </w:r>
          </w:p>
        </w:tc>
        <w:tc>
          <w:tcPr>
            <w:tcW w:type="dxa" w:w="415"/>
          </w:tcPr>
          <w:p>
            <w:r>
              <w:rPr/>
              <w:t>6</w:t>
            </w:r>
          </w:p>
        </w:tc>
        <w:tc>
          <w:tcPr>
            <w:tcW w:type="dxa" w:w="5814"/>
          </w:tcPr>
          <w:p>
            <w:r>
              <w:rPr>
                <w:sz w:val="21"/>
              </w:rPr>
              <w:t>5.标准传声器：用于校准仿真人头嘴，频宽至少：2</w:t>
            </w:r>
            <w:r>
              <w:rPr>
                <w:sz w:val="21"/>
              </w:rPr>
              <w:t>0H</w:t>
            </w:r>
            <w:r>
              <w:rPr>
                <w:sz w:val="21"/>
              </w:rPr>
              <w:t>z-</w:t>
            </w:r>
            <w:r>
              <w:rPr>
                <w:sz w:val="21"/>
              </w:rPr>
              <w:t>25000H</w:t>
            </w:r>
            <w:r>
              <w:rPr>
                <w:sz w:val="21"/>
              </w:rPr>
              <w:t>z；灵敏度不劣于：</w:t>
            </w:r>
            <w:r>
              <w:rPr>
                <w:sz w:val="21"/>
              </w:rPr>
              <w:t>1.45</w:t>
            </w:r>
            <w:r>
              <w:rPr>
                <w:sz w:val="21"/>
              </w:rPr>
              <w:t>mV/Pa</w:t>
            </w:r>
            <w:r>
              <w:rPr>
                <w:sz w:val="21"/>
              </w:rPr>
              <w:t>；动态范围至少：</w:t>
            </w:r>
            <w:r>
              <w:rPr>
                <w:sz w:val="21"/>
              </w:rPr>
              <w:t>30</w:t>
            </w:r>
            <w:r>
              <w:rPr>
                <w:sz w:val="21"/>
              </w:rPr>
              <w:t xml:space="preserve"> </w:t>
            </w:r>
            <w:r>
              <w:rPr>
                <w:sz w:val="21"/>
              </w:rPr>
              <w:t>d</w:t>
            </w:r>
            <w:r>
              <w:rPr>
                <w:sz w:val="21"/>
              </w:rPr>
              <w:t>B</w:t>
            </w:r>
            <w:r>
              <w:rPr>
                <w:sz w:val="21"/>
              </w:rPr>
              <w:t xml:space="preserve"> </w:t>
            </w:r>
            <w:r>
              <w:rPr>
                <w:sz w:val="21"/>
              </w:rPr>
              <w:t>-</w:t>
            </w:r>
            <w:r>
              <w:rPr>
                <w:sz w:val="21"/>
              </w:rPr>
              <w:t>168</w:t>
            </w:r>
            <w:r>
              <w:rPr>
                <w:sz w:val="21"/>
              </w:rPr>
              <w:t>d</w:t>
            </w:r>
            <w:r>
              <w:rPr>
                <w:sz w:val="21"/>
              </w:rPr>
              <w:t>B</w:t>
            </w:r>
            <w:r>
              <w:rPr>
                <w:sz w:val="21"/>
              </w:rPr>
              <w:t>；本底：</w:t>
            </w:r>
            <w:r>
              <w:rPr>
                <w:sz w:val="21"/>
              </w:rPr>
              <w:t>≤</w:t>
            </w:r>
            <w:r>
              <w:rPr>
                <w:sz w:val="21"/>
              </w:rPr>
              <w:t>40</w:t>
            </w:r>
            <w:r>
              <w:rPr>
                <w:sz w:val="21"/>
              </w:rPr>
              <w:t>d</w:t>
            </w:r>
            <w:r>
              <w:rPr>
                <w:sz w:val="21"/>
              </w:rPr>
              <w:t>BA</w:t>
            </w:r>
            <w:r>
              <w:rPr>
                <w:sz w:val="21"/>
              </w:rPr>
              <w:t>；</w:t>
            </w:r>
            <w:r>
              <w:rPr>
                <w:sz w:val="21"/>
              </w:rPr>
              <w:t>频率范围（</w:t>
            </w:r>
            <w:r>
              <w:rPr>
                <w:sz w:val="21"/>
              </w:rPr>
              <w:t>±1 dB)</w:t>
            </w:r>
            <w:r>
              <w:rPr>
                <w:sz w:val="21"/>
              </w:rPr>
              <w:t>：</w:t>
            </w:r>
            <w:r>
              <w:rPr>
                <w:sz w:val="21"/>
              </w:rPr>
              <w:t>10</w:t>
            </w:r>
            <w:r>
              <w:rPr>
                <w:sz w:val="21"/>
              </w:rPr>
              <w:t>H</w:t>
            </w:r>
            <w:r>
              <w:rPr>
                <w:sz w:val="21"/>
              </w:rPr>
              <w:t>z</w:t>
            </w:r>
            <w:r>
              <w:rPr>
                <w:sz w:val="21"/>
              </w:rPr>
              <w:t xml:space="preserve"> </w:t>
            </w:r>
            <w:r>
              <w:rPr>
                <w:sz w:val="21"/>
              </w:rPr>
              <w:t>-</w:t>
            </w:r>
            <w:r>
              <w:rPr>
                <w:sz w:val="21"/>
              </w:rPr>
              <w:t>25</w:t>
            </w:r>
            <w:r>
              <w:rPr>
                <w:sz w:val="21"/>
              </w:rPr>
              <w:t>kHz；</w:t>
            </w:r>
            <w:r>
              <w:rPr>
                <w:sz w:val="21"/>
              </w:rPr>
              <w:t>频率范围（</w:t>
            </w:r>
            <w:r>
              <w:rPr>
                <w:sz w:val="21"/>
              </w:rPr>
              <w:t>±2dB)</w:t>
            </w:r>
            <w:r>
              <w:rPr>
                <w:sz w:val="21"/>
              </w:rPr>
              <w:t>：</w:t>
            </w:r>
            <w:r>
              <w:rPr>
                <w:sz w:val="21"/>
              </w:rPr>
              <w:t>5</w:t>
            </w:r>
            <w:r>
              <w:rPr>
                <w:sz w:val="21"/>
              </w:rPr>
              <w:t>H</w:t>
            </w:r>
            <w:r>
              <w:rPr>
                <w:sz w:val="21"/>
              </w:rPr>
              <w:t>z</w:t>
            </w:r>
            <w:r>
              <w:rPr>
                <w:sz w:val="21"/>
              </w:rPr>
              <w:t xml:space="preserve"> </w:t>
            </w:r>
            <w:r>
              <w:rPr>
                <w:sz w:val="21"/>
              </w:rPr>
              <w:t>-</w:t>
            </w:r>
            <w:r>
              <w:rPr>
                <w:sz w:val="21"/>
              </w:rPr>
              <w:t>70</w:t>
            </w:r>
            <w:r>
              <w:rPr>
                <w:sz w:val="21"/>
              </w:rPr>
              <w:t>kHz；I</w:t>
            </w:r>
            <w:r>
              <w:rPr>
                <w:sz w:val="21"/>
              </w:rPr>
              <w:t>CP</w:t>
            </w:r>
            <w:r>
              <w:rPr>
                <w:sz w:val="21"/>
              </w:rPr>
              <w:t>供电，</w:t>
            </w:r>
            <w:r>
              <w:rPr>
                <w:sz w:val="21"/>
              </w:rPr>
              <w:t>B</w:t>
            </w:r>
            <w:r>
              <w:rPr>
                <w:sz w:val="21"/>
              </w:rPr>
              <w:t>NC</w:t>
            </w:r>
            <w:r>
              <w:rPr>
                <w:sz w:val="21"/>
              </w:rPr>
              <w:t>接口</w:t>
            </w:r>
          </w:p>
        </w:tc>
      </w:tr>
      <w:tr>
        <w:tc>
          <w:tcPr>
            <w:tcW w:type="dxa" w:w="2076"/>
          </w:tcPr>
          <w:p/>
        </w:tc>
        <w:tc>
          <w:tcPr>
            <w:tcW w:type="dxa" w:w="415"/>
          </w:tcPr>
          <w:p>
            <w:r>
              <w:rPr/>
              <w:t>7</w:t>
            </w:r>
          </w:p>
        </w:tc>
        <w:tc>
          <w:tcPr>
            <w:tcW w:type="dxa" w:w="5814"/>
          </w:tcPr>
          <w:p>
            <w:r>
              <w:rPr>
                <w:sz w:val="21"/>
              </w:rPr>
              <w:t>6.声级校准器:</w:t>
            </w:r>
            <w:r>
              <w:rPr>
                <w:sz w:val="21"/>
              </w:rPr>
              <w:t xml:space="preserve"> 94</w:t>
            </w:r>
            <w:r>
              <w:rPr>
                <w:sz w:val="21"/>
              </w:rPr>
              <w:t>d</w:t>
            </w:r>
            <w:r>
              <w:rPr>
                <w:sz w:val="21"/>
              </w:rPr>
              <w:t>B(±0.2dB)</w:t>
            </w:r>
            <w:r>
              <w:rPr>
                <w:sz w:val="21"/>
              </w:rPr>
              <w:t>及</w:t>
            </w:r>
            <w:r>
              <w:rPr>
                <w:sz w:val="21"/>
              </w:rPr>
              <w:t>114dB(±0.2 dB)</w:t>
            </w:r>
            <w:r>
              <w:rPr>
                <w:sz w:val="21"/>
              </w:rPr>
              <w:t>；频率：</w:t>
            </w:r>
            <w:r>
              <w:rPr>
                <w:sz w:val="21"/>
              </w:rPr>
              <w:t>250Hz(251.19Hz±0.30Hz)or 1kHz(1000Hz±1Hz)</w:t>
            </w:r>
            <w:r>
              <w:rPr>
                <w:sz w:val="21"/>
              </w:rPr>
              <w:t>；精度：符合</w:t>
            </w:r>
            <w:r>
              <w:rPr>
                <w:sz w:val="21"/>
              </w:rPr>
              <w:t>IEC 60942</w:t>
            </w:r>
            <w:r>
              <w:rPr>
                <w:sz w:val="21"/>
              </w:rPr>
              <w:t xml:space="preserve"> </w:t>
            </w:r>
            <w:r>
              <w:rPr>
                <w:sz w:val="21"/>
              </w:rPr>
              <w:t>Class 1.</w:t>
            </w:r>
          </w:p>
        </w:tc>
      </w:tr>
      <w:tr>
        <w:tc>
          <w:tcPr>
            <w:tcW w:type="dxa" w:w="2076"/>
          </w:tcPr>
          <w:p>
            <w:r>
              <w:rPr/>
              <w:t>▲</w:t>
            </w:r>
          </w:p>
        </w:tc>
        <w:tc>
          <w:tcPr>
            <w:tcW w:type="dxa" w:w="415"/>
          </w:tcPr>
          <w:p>
            <w:r>
              <w:rPr/>
              <w:t>8</w:t>
            </w:r>
          </w:p>
        </w:tc>
        <w:tc>
          <w:tcPr>
            <w:tcW w:type="dxa" w:w="5814"/>
          </w:tcPr>
          <w:p>
            <w:r>
              <w:rPr>
                <w:sz w:val="21"/>
              </w:rPr>
              <w:t>7.功率放大器：频宽：2</w:t>
            </w:r>
            <w:r>
              <w:rPr>
                <w:sz w:val="21"/>
              </w:rPr>
              <w:t>0H</w:t>
            </w:r>
            <w:r>
              <w:rPr>
                <w:sz w:val="21"/>
              </w:rPr>
              <w:t>z-</w:t>
            </w:r>
            <w:r>
              <w:rPr>
                <w:sz w:val="21"/>
              </w:rPr>
              <w:t>50</w:t>
            </w:r>
            <w:r>
              <w:rPr>
                <w:sz w:val="21"/>
              </w:rPr>
              <w:t>kHz</w:t>
            </w:r>
            <w:r>
              <w:rPr>
                <w:sz w:val="21"/>
              </w:rPr>
              <w:t>,</w:t>
            </w:r>
            <w:r>
              <w:rPr>
                <w:sz w:val="21"/>
              </w:rPr>
              <w:t>±0.5</w:t>
            </w:r>
            <w:r>
              <w:rPr>
                <w:sz w:val="21"/>
              </w:rPr>
              <w:t>d</w:t>
            </w:r>
            <w:r>
              <w:rPr>
                <w:sz w:val="21"/>
              </w:rPr>
              <w:t>B</w:t>
            </w:r>
            <w:r>
              <w:rPr>
                <w:sz w:val="21"/>
              </w:rPr>
              <w:t>/</w:t>
            </w:r>
            <w:r>
              <w:rPr>
                <w:sz w:val="21"/>
              </w:rPr>
              <w:t>1W,8</w:t>
            </w:r>
            <w:r>
              <w:rPr>
                <w:sz w:val="21"/>
              </w:rPr>
              <w:t>欧姆；功率：</w:t>
            </w:r>
            <w:r>
              <w:rPr>
                <w:sz w:val="21"/>
              </w:rPr>
              <w:t>2</w:t>
            </w:r>
            <w:r>
              <w:rPr>
                <w:sz w:val="21"/>
              </w:rPr>
              <w:t>0W</w:t>
            </w:r>
            <w:r>
              <w:rPr>
                <w:sz w:val="21"/>
              </w:rPr>
              <w:t>（</w:t>
            </w:r>
            <w:r>
              <w:rPr>
                <w:sz w:val="21"/>
              </w:rPr>
              <w:t>THD=0.0</w:t>
            </w:r>
            <w:r>
              <w:rPr>
                <w:sz w:val="21"/>
              </w:rPr>
              <w:t>8</w:t>
            </w:r>
            <w:r>
              <w:rPr>
                <w:sz w:val="21"/>
              </w:rPr>
              <w:t>%</w:t>
            </w:r>
            <w:r>
              <w:rPr>
                <w:sz w:val="21"/>
              </w:rPr>
              <w:t>条件下</w:t>
            </w:r>
            <w:r>
              <w:rPr>
                <w:sz w:val="21"/>
              </w:rPr>
              <w:t>）</w:t>
            </w:r>
            <w:r>
              <w:rPr>
                <w:sz w:val="21"/>
              </w:rPr>
              <w:t>；</w:t>
            </w:r>
            <w:r>
              <w:rPr>
                <w:sz w:val="21"/>
              </w:rPr>
              <w:t>带传声器、麦克风、阻抗测试电源供电。</w:t>
            </w:r>
          </w:p>
        </w:tc>
      </w:tr>
      <w:tr>
        <w:tc>
          <w:tcPr>
            <w:tcW w:type="dxa" w:w="2076"/>
          </w:tcPr>
          <w:p>
            <w:r>
              <w:rPr/>
              <w:t>▲</w:t>
            </w:r>
          </w:p>
        </w:tc>
        <w:tc>
          <w:tcPr>
            <w:tcW w:type="dxa" w:w="415"/>
          </w:tcPr>
          <w:p>
            <w:r>
              <w:rPr/>
              <w:t>9</w:t>
            </w:r>
          </w:p>
        </w:tc>
        <w:tc>
          <w:tcPr>
            <w:tcW w:type="dxa" w:w="5814"/>
          </w:tcPr>
          <w:p>
            <w:r>
              <w:rPr>
                <w:sz w:val="21"/>
              </w:rPr>
              <w:t>8.音频采集卡: U</w:t>
            </w:r>
            <w:r>
              <w:rPr>
                <w:sz w:val="21"/>
              </w:rPr>
              <w:t>SB</w:t>
            </w:r>
            <w:r>
              <w:rPr>
                <w:sz w:val="21"/>
              </w:rPr>
              <w:t>控制，模拟</w:t>
            </w:r>
            <w:r>
              <w:rPr>
                <w:sz w:val="21"/>
              </w:rPr>
              <w:t>8进8出；</w:t>
            </w:r>
            <w:r>
              <w:rPr>
                <w:sz w:val="21"/>
              </w:rPr>
              <w:t>内部采样频率应包含：</w:t>
            </w:r>
            <w:r>
              <w:rPr>
                <w:sz w:val="21"/>
              </w:rPr>
              <w:t>32kHz</w:t>
            </w:r>
            <w:r>
              <w:rPr>
                <w:sz w:val="21"/>
              </w:rPr>
              <w:t>、</w:t>
            </w:r>
            <w:r>
              <w:rPr>
                <w:sz w:val="21"/>
              </w:rPr>
              <w:t>44.1kHz</w:t>
            </w:r>
            <w:r>
              <w:rPr>
                <w:sz w:val="21"/>
              </w:rPr>
              <w:t>、</w:t>
            </w:r>
            <w:r>
              <w:rPr>
                <w:sz w:val="21"/>
              </w:rPr>
              <w:t>48kHz</w:t>
            </w:r>
            <w:r>
              <w:rPr>
                <w:sz w:val="21"/>
              </w:rPr>
              <w:t>、</w:t>
            </w:r>
            <w:r>
              <w:rPr>
                <w:sz w:val="21"/>
              </w:rPr>
              <w:t>64kHz</w:t>
            </w:r>
            <w:r>
              <w:rPr>
                <w:sz w:val="21"/>
              </w:rPr>
              <w:t>、</w:t>
            </w:r>
            <w:r>
              <w:rPr>
                <w:sz w:val="21"/>
              </w:rPr>
              <w:t>88.2kHz</w:t>
            </w:r>
            <w:r>
              <w:rPr>
                <w:sz w:val="21"/>
              </w:rPr>
              <w:t>、</w:t>
            </w:r>
            <w:r>
              <w:rPr>
                <w:sz w:val="21"/>
              </w:rPr>
              <w:t>96kHz</w:t>
            </w:r>
            <w:r>
              <w:rPr>
                <w:sz w:val="21"/>
              </w:rPr>
              <w:t>、</w:t>
            </w:r>
            <w:r>
              <w:rPr>
                <w:sz w:val="21"/>
              </w:rPr>
              <w:t>128kHz</w:t>
            </w:r>
            <w:r>
              <w:rPr>
                <w:sz w:val="21"/>
              </w:rPr>
              <w:t>、</w:t>
            </w:r>
            <w:r>
              <w:rPr>
                <w:sz w:val="21"/>
              </w:rPr>
              <w:t>176.4kHz</w:t>
            </w:r>
            <w:r>
              <w:rPr>
                <w:sz w:val="21"/>
              </w:rPr>
              <w:t>、</w:t>
            </w:r>
            <w:r>
              <w:rPr>
                <w:sz w:val="21"/>
              </w:rPr>
              <w:t>192kHz</w:t>
            </w:r>
            <w:r>
              <w:rPr>
                <w:sz w:val="21"/>
              </w:rPr>
              <w:t>；</w:t>
            </w:r>
            <w:r>
              <w:rPr>
                <w:sz w:val="21"/>
              </w:rPr>
              <w:t>模数</w:t>
            </w:r>
            <w:r>
              <w:rPr>
                <w:sz w:val="21"/>
              </w:rPr>
              <w:t>/</w:t>
            </w:r>
            <w:r>
              <w:rPr>
                <w:sz w:val="21"/>
              </w:rPr>
              <w:t>数模频率响应：</w:t>
            </w:r>
            <w:r>
              <w:rPr>
                <w:sz w:val="21"/>
              </w:rPr>
              <w:t>-1dB:</w:t>
            </w:r>
            <w:r>
              <w:rPr>
                <w:sz w:val="21"/>
              </w:rPr>
              <w:t>至少</w:t>
            </w:r>
            <w:r>
              <w:rPr>
                <w:sz w:val="21"/>
              </w:rPr>
              <w:t>1 Hz - 80 kHz (</w:t>
            </w:r>
            <w:r>
              <w:rPr>
                <w:sz w:val="21"/>
              </w:rPr>
              <w:t>采样频率</w:t>
            </w:r>
            <w:r>
              <w:rPr>
                <w:sz w:val="21"/>
              </w:rPr>
              <w:t>192kHz)</w:t>
            </w:r>
            <w:r>
              <w:rPr>
                <w:sz w:val="21"/>
              </w:rPr>
              <w:t>；模数转换动态范围至少：</w:t>
            </w:r>
            <w:r>
              <w:rPr>
                <w:sz w:val="21"/>
              </w:rPr>
              <w:t>110dB RMS</w:t>
            </w:r>
            <w:r>
              <w:rPr>
                <w:sz w:val="21"/>
              </w:rPr>
              <w:t>非加权，</w:t>
            </w:r>
            <w:r>
              <w:rPr>
                <w:sz w:val="21"/>
              </w:rPr>
              <w:t>113d</w:t>
            </w:r>
            <w:r>
              <w:rPr>
                <w:sz w:val="21"/>
              </w:rPr>
              <w:t>BA</w:t>
            </w:r>
            <w:r>
              <w:rPr>
                <w:sz w:val="21"/>
              </w:rPr>
              <w:t>。操作系统：支持</w:t>
            </w:r>
            <w:r>
              <w:rPr>
                <w:sz w:val="21"/>
              </w:rPr>
              <w:t>Win7</w:t>
            </w:r>
            <w:r>
              <w:rPr>
                <w:sz w:val="21"/>
              </w:rPr>
              <w:t>、</w:t>
            </w:r>
            <w:r>
              <w:rPr>
                <w:sz w:val="21"/>
              </w:rPr>
              <w:t>Win8</w:t>
            </w:r>
            <w:r>
              <w:rPr>
                <w:sz w:val="21"/>
              </w:rPr>
              <w:t>、</w:t>
            </w:r>
            <w:r>
              <w:rPr>
                <w:sz w:val="21"/>
              </w:rPr>
              <w:t>Win10</w:t>
            </w:r>
          </w:p>
        </w:tc>
      </w:tr>
      <w:tr>
        <w:tc>
          <w:tcPr>
            <w:tcW w:type="dxa" w:w="2076"/>
          </w:tcPr>
          <w:p/>
        </w:tc>
        <w:tc>
          <w:tcPr>
            <w:tcW w:type="dxa" w:w="415"/>
          </w:tcPr>
          <w:p>
            <w:r>
              <w:rPr/>
              <w:t>10</w:t>
            </w:r>
          </w:p>
        </w:tc>
        <w:tc>
          <w:tcPr>
            <w:tcW w:type="dxa" w:w="5814"/>
          </w:tcPr>
          <w:p>
            <w:r>
              <w:rPr>
                <w:sz w:val="21"/>
              </w:rPr>
              <w:t>9.</w:t>
            </w:r>
            <w:r>
              <w:rPr>
                <w:sz w:val="21"/>
              </w:rPr>
              <w:t>蓝牙连接器：应可自动连接配对，指令控制，自动完成测试；协议应包含：</w:t>
            </w:r>
            <w:r>
              <w:rPr>
                <w:sz w:val="21"/>
              </w:rPr>
              <w:t>S</w:t>
            </w:r>
            <w:r>
              <w:rPr>
                <w:sz w:val="21"/>
              </w:rPr>
              <w:t>BC,APTX</w:t>
            </w:r>
            <w:r>
              <w:rPr>
                <w:sz w:val="21"/>
              </w:rPr>
              <w:t>，状态测试应包含：</w:t>
            </w:r>
            <w:r>
              <w:rPr>
                <w:sz w:val="21"/>
              </w:rPr>
              <w:t>A</w:t>
            </w:r>
            <w:r>
              <w:rPr>
                <w:sz w:val="21"/>
              </w:rPr>
              <w:t>2DP,HFP</w:t>
            </w:r>
            <w:r>
              <w:rPr>
                <w:sz w:val="21"/>
              </w:rPr>
              <w:t>；带天线，</w:t>
            </w:r>
            <w:r>
              <w:rPr>
                <w:sz w:val="21"/>
              </w:rPr>
              <w:t>U</w:t>
            </w:r>
            <w:r>
              <w:rPr>
                <w:sz w:val="21"/>
              </w:rPr>
              <w:t>SB</w:t>
            </w:r>
            <w:r>
              <w:rPr>
                <w:sz w:val="21"/>
              </w:rPr>
              <w:t>接口控制；可显示</w:t>
            </w:r>
            <w:r>
              <w:rPr>
                <w:sz w:val="21"/>
              </w:rPr>
              <w:t>R</w:t>
            </w:r>
            <w:r>
              <w:rPr>
                <w:sz w:val="21"/>
              </w:rPr>
              <w:t>SSI,</w:t>
            </w:r>
            <w:r>
              <w:rPr>
                <w:sz w:val="21"/>
              </w:rPr>
              <w:t>名称，地址，音量，电量。</w:t>
            </w:r>
          </w:p>
        </w:tc>
      </w:tr>
      <w:tr>
        <w:tc>
          <w:tcPr>
            <w:tcW w:type="dxa" w:w="2076"/>
          </w:tcPr>
          <w:p/>
        </w:tc>
        <w:tc>
          <w:tcPr>
            <w:tcW w:type="dxa" w:w="415"/>
          </w:tcPr>
          <w:p>
            <w:r>
              <w:rPr/>
              <w:t>11</w:t>
            </w:r>
          </w:p>
        </w:tc>
        <w:tc>
          <w:tcPr>
            <w:tcW w:type="dxa" w:w="5814"/>
          </w:tcPr>
          <w:p>
            <w:r>
              <w:rPr>
                <w:sz w:val="21"/>
              </w:rPr>
              <w:t>10</w:t>
            </w:r>
            <w:r>
              <w:rPr>
                <w:sz w:val="21"/>
              </w:rPr>
              <w:t>.</w:t>
            </w:r>
            <w:r>
              <w:rPr>
                <w:sz w:val="21"/>
              </w:rPr>
              <w:t>工控主机：</w:t>
            </w:r>
            <w:r>
              <w:rPr>
                <w:sz w:val="21"/>
              </w:rPr>
              <w:t>I</w:t>
            </w:r>
            <w:r>
              <w:rPr>
                <w:sz w:val="21"/>
              </w:rPr>
              <w:t>7</w:t>
            </w:r>
            <w:r>
              <w:rPr>
                <w:sz w:val="21"/>
              </w:rPr>
              <w:t>以上</w:t>
            </w:r>
            <w:r>
              <w:rPr>
                <w:sz w:val="21"/>
              </w:rPr>
              <w:t>C</w:t>
            </w:r>
            <w:r>
              <w:rPr>
                <w:sz w:val="21"/>
              </w:rPr>
              <w:t>PU,</w:t>
            </w:r>
            <w:r>
              <w:rPr>
                <w:sz w:val="21"/>
              </w:rPr>
              <w:t>内存至少</w:t>
            </w:r>
            <w:r>
              <w:rPr>
                <w:sz w:val="21"/>
              </w:rPr>
              <w:t>3</w:t>
            </w:r>
            <w:r>
              <w:rPr>
                <w:sz w:val="21"/>
              </w:rPr>
              <w:t>2G</w:t>
            </w:r>
            <w:r>
              <w:rPr>
                <w:sz w:val="21"/>
              </w:rPr>
              <w:t>，硬盘至少</w:t>
            </w:r>
            <w:r>
              <w:rPr>
                <w:sz w:val="21"/>
              </w:rPr>
              <w:t>4</w:t>
            </w:r>
            <w:r>
              <w:rPr>
                <w:sz w:val="21"/>
              </w:rPr>
              <w:t>80</w:t>
            </w:r>
            <w:r>
              <w:rPr>
                <w:sz w:val="21"/>
              </w:rPr>
              <w:t>+</w:t>
            </w:r>
            <w:r>
              <w:rPr>
                <w:sz w:val="21"/>
              </w:rPr>
              <w:t>1T</w:t>
            </w:r>
            <w:r>
              <w:rPr>
                <w:sz w:val="21"/>
              </w:rPr>
              <w:t>，</w:t>
            </w:r>
            <w:r>
              <w:rPr>
                <w:sz w:val="21"/>
              </w:rPr>
              <w:t>数据显示设备</w:t>
            </w:r>
            <w:r>
              <w:rPr>
                <w:sz w:val="21"/>
              </w:rPr>
              <w:t>至少</w:t>
            </w:r>
            <w:r>
              <w:rPr>
                <w:sz w:val="21"/>
              </w:rPr>
              <w:t>3</w:t>
            </w:r>
            <w:r>
              <w:rPr>
                <w:sz w:val="21"/>
              </w:rPr>
              <w:t>2</w:t>
            </w:r>
            <w:r>
              <w:rPr>
                <w:sz w:val="21"/>
              </w:rPr>
              <w:t>寸，</w:t>
            </w:r>
            <w:r>
              <w:rPr>
                <w:sz w:val="21"/>
              </w:rPr>
              <w:t>操作系统：</w:t>
            </w:r>
            <w:r>
              <w:rPr>
                <w:sz w:val="21"/>
              </w:rPr>
              <w:t>Win10</w:t>
            </w:r>
            <w:r>
              <w:rPr>
                <w:sz w:val="21"/>
              </w:rPr>
              <w:t>以上</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1.采购代理机构：本项目是指佛山市信悦咨询有限公司，负责整个采购活动的组织，依法负责编制和发布招标文件，对招标文件拥有最终的解释权，不以任何身份出任评标委员会成员。</w:t>
      </w:r>
    </w:p>
    <w:p>
      <w:pPr>
        <w:ind w:firstLine="480"/>
      </w:pPr>
      <w:r>
        <w:rPr/>
        <w:t>2.采购人：本项目是指</w:t>
      </w:r>
      <w:r>
        <w:rPr/>
        <w:t>佛山市质量计量监督检测中心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无：本项目兼投兼中。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成交供应商须向采购代理机构缴纳招标代理服务费，按采购包独立计算，以中标/成交通知书中各采购包中标/成交金额作为招标代理服务费的计算基数。招标代理服务费收费采用差额定率累进法计算方式。按中华人民共和国国家发展计划委员会颁发的计价格[2002]1980号、国家发改委[2003]857号及发改价格2011534号文规定的“货物类”计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1，本招标文件内要求的扫描件或复印件，可以是原件的扫描件，也可以是复印件的扫描件。扫描件性质上可视为复印件。</w:t>
            </w: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佛山市信悦咨询有限公司</w:t>
      </w:r>
      <w:r>
        <w:rPr/>
        <w:t>代收。具体操作要求详见</w:t>
      </w:r>
      <w:r>
        <w:rPr/>
        <w:t>佛山市信悦咨询有限公司</w:t>
      </w:r>
      <w:r>
        <w:rPr/>
        <w:t>有关指引，递交事宜请自行咨询</w:t>
      </w:r>
      <w:r>
        <w:rPr/>
        <w:t>佛山市信悦咨询有限公司</w:t>
      </w:r>
      <w:r>
        <w:rPr/>
        <w:t>；请各投标人在投标文件递交截止时间前按须知前附表规定的金额递交至</w:t>
      </w:r>
      <w:r>
        <w:rPr/>
        <w:t>佛山市信悦咨询有限公司</w:t>
      </w:r>
      <w:r>
        <w:rPr/>
        <w:t>，到账情况以开标时</w:t>
      </w:r>
      <w:r>
        <w:rPr/>
        <w:t>佛山市信悦咨询有限公司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采购代理机构网站（www.fssxyzx.com）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采购代理机构网站（www.fssxyzx.com）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李小姐</w:t>
      </w:r>
    </w:p>
    <w:p>
      <w:pPr>
        <w:ind w:firstLine="480"/>
      </w:pPr>
      <w:r>
        <w:rPr/>
        <w:t>电话：</w:t>
      </w:r>
      <w:r>
        <w:rPr/>
        <w:t>0757-83279001</w:t>
      </w:r>
    </w:p>
    <w:p>
      <w:pPr>
        <w:ind w:firstLine="480"/>
      </w:pPr>
      <w:r>
        <w:rPr/>
        <w:t>传真：</w:t>
      </w:r>
      <w:r>
        <w:rPr/>
        <w:t>0757-83279001</w:t>
      </w:r>
    </w:p>
    <w:p>
      <w:pPr>
        <w:ind w:firstLine="480"/>
      </w:pPr>
      <w:r>
        <w:rPr/>
        <w:t>邮箱：</w:t>
      </w:r>
      <w:r>
        <w:rPr/>
        <w:t>fsxyzx@126.com</w:t>
      </w:r>
    </w:p>
    <w:p>
      <w:pPr>
        <w:ind w:firstLine="480"/>
      </w:pPr>
      <w:r>
        <w:rPr/>
        <w:t>地址：</w:t>
      </w:r>
      <w:r>
        <w:rPr/>
        <w:t>佛山市禅城区汾江南路18号雅庭国际一座2407</w:t>
      </w:r>
    </w:p>
    <w:p>
      <w:pPr>
        <w:ind w:firstLine="480"/>
      </w:pPr>
      <w:r>
        <w:rPr/>
        <w:t>邮编：</w:t>
      </w:r>
      <w:r>
        <w:rPr/>
        <w:t>528000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电离辐射检测仪、便携音响设备声级测试系统)：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佛山市信悦咨询有限公司</w:t>
      </w:r>
      <w:r>
        <w:rPr/>
        <w:t>统一对外发布。</w:t>
      </w:r>
    </w:p>
    <w:p>
      <w:pPr>
        <w:ind w:firstLine="480"/>
      </w:pPr>
      <w:r>
        <w:rPr/>
        <w:t>（2）对</w:t>
      </w:r>
      <w:r>
        <w:rPr/>
        <w:t>佛山市信悦咨询有限公司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采购包1（电离辐射检测仪、便携音响设备声级测试系统）：</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须提供投标产品有效期内的节能产品认证证书或环境标志产品认证证书扫描件加盖投标人公章；投标人应如实填写投标文件格式《政策适用性说明》，否则评标委员会以采购需求内产品最高单价与最高单价汇总的占比计算其所投节能产品、环境标志产品的占比与价格扣除得分)。当产品同时获得节能产品与环境标志产品认证证书的，累计扣除。当同时获得本表内序号1情形价格扣除和序号2情形价格扣除的，分别进行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采购包1（电离辐射检测仪、便携音响设备声级测试系统）：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或提供《政府采购供应商资格信用承诺函》（按照招标公告附件1格式进行承诺）。</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状况报告扫描件，或投标文件递交截止日前6个月内（不含截止日当月）任意1个月的财务状况报告扫描件，或投标文件递交截止日前6个月内（含截止日当月）基本开户行出具的资信证明扫描件，或提供《政府采购供应商资格信用承诺函》（按照招标公告附件1格式进行承诺）。</w:t>
            </w:r>
          </w:p>
        </w:tc>
      </w:tr>
      <w:tr>
        <w:tc>
          <w:tcPr>
            <w:tcW w:type="dxa" w:w="890"/>
          </w:tcPr>
          <w:p>
            <w:r>
              <w:rPr/>
              <w:t>4</w:t>
            </w:r>
          </w:p>
        </w:tc>
        <w:tc>
          <w:tcPr>
            <w:tcW w:type="dxa" w:w="3178"/>
          </w:tcPr>
          <w:p>
            <w:r>
              <w:rPr/>
              <w:t>履行合同所必需的设备和专业技术能力</w:t>
            </w:r>
          </w:p>
        </w:tc>
        <w:tc>
          <w:tcPr>
            <w:tcW w:type="dxa" w:w="4238"/>
          </w:tcPr>
          <w:p>
            <w:r>
              <w:rPr/>
              <w:t>提供设备及专业技术能力情况的证明材料或承诺函（格式自拟）。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本采购包不专门面向中小企业采购</w:t>
            </w:r>
          </w:p>
        </w:tc>
        <w:tc>
          <w:tcPr>
            <w:tcW w:type="dxa" w:w="4238"/>
          </w:tcPr>
          <w:p>
            <w:r>
              <w:rPr/>
              <w:t>采购包不属于专门面向中小企业采购项目。</w:t>
            </w:r>
          </w:p>
        </w:tc>
      </w:tr>
    </w:tbl>
    <w:p/>
    <w:p>
      <w:pPr>
        <w:ind w:firstLine="480"/>
      </w:pPr>
      <w:r>
        <w:rPr/>
        <w:t>表二符合性审查表：</w:t>
      </w:r>
    </w:p>
    <w:p>
      <w:pPr>
        <w:ind w:firstLine="480"/>
      </w:pPr>
    </w:p>
    <w:p/>
    <w:p>
      <w:r>
        <w:rPr/>
        <w:t>采购包1（电离辐射检测仪、便携音响设备声级测试系统）：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4</w:t>
            </w:r>
          </w:p>
        </w:tc>
        <w:tc>
          <w:tcPr>
            <w:tcW w:type="dxa" w:w="3178"/>
          </w:tcPr>
          <w:p>
            <w:r>
              <w:rPr/>
              <w:t>投标方案</w:t>
            </w:r>
          </w:p>
        </w:tc>
        <w:tc>
          <w:tcPr>
            <w:tcW w:type="dxa" w:w="4238"/>
          </w:tcPr>
          <w:p>
            <w:r>
              <w:rPr/>
              <w:t>投标人提供的投标方案及报价方案固定。</w:t>
            </w:r>
          </w:p>
        </w:tc>
      </w:tr>
      <w:tr>
        <w:tc>
          <w:tcPr>
            <w:tcW w:type="dxa" w:w="890"/>
          </w:tcPr>
          <w:p>
            <w:r>
              <w:rPr/>
              <w:t>5</w:t>
            </w:r>
          </w:p>
        </w:tc>
        <w:tc>
          <w:tcPr>
            <w:tcW w:type="dxa" w:w="3178"/>
          </w:tcPr>
          <w:p>
            <w:r>
              <w:rPr/>
              <w:t>“★”条款响应情况</w:t>
            </w:r>
          </w:p>
        </w:tc>
        <w:tc>
          <w:tcPr>
            <w:tcW w:type="dxa" w:w="4238"/>
          </w:tcPr>
          <w:p>
            <w:r>
              <w:rPr/>
              <w:t>投标文件完全满足招标文件的实质性条款（即标注★号条款）无负偏离的：投标时提供（1）《技术和服务要求响应表》与《商务条件响应表》；（2）技术标准与要求条款的★号条款，还需提供招标文件规定的证明材料（包括产品彩页证明扫描件或产品说明书扫描件或检测（校准）报告扫描件或官网截图或厂家(或授权代理商)盖章确认的技术参数确认函，如在技术参数内有要求提供其他证明材料的，提供相应证明材料，否则视为不满足）</w:t>
            </w:r>
          </w:p>
        </w:tc>
      </w:tr>
      <w:tr>
        <w:tc>
          <w:tcPr>
            <w:tcW w:type="dxa" w:w="890"/>
          </w:tcPr>
          <w:p>
            <w:r>
              <w:rPr/>
              <w:t>6</w:t>
            </w:r>
          </w:p>
        </w:tc>
        <w:tc>
          <w:tcPr>
            <w:tcW w:type="dxa" w:w="3178"/>
          </w:tcPr>
          <w:p>
            <w:r>
              <w:rPr/>
              <w:t>其他</w:t>
            </w:r>
          </w:p>
        </w:tc>
        <w:tc>
          <w:tcPr>
            <w:tcW w:type="dxa" w:w="4238"/>
          </w:tcPr>
          <w:p>
            <w:r>
              <w:rPr/>
              <w:t>投标文件中未有法律、法规和招标文件规定的其他无效情形。</w:t>
            </w:r>
          </w:p>
        </w:tc>
      </w:tr>
      <w:tr>
        <w:tc>
          <w:tcPr>
            <w:tcW w:type="dxa" w:w="890"/>
          </w:tcPr>
          <w:p>
            <w:r>
              <w:rPr/>
              <w:t>7</w:t>
            </w:r>
          </w:p>
        </w:tc>
        <w:tc>
          <w:tcPr>
            <w:tcW w:type="dxa" w:w="3178"/>
          </w:tcPr>
          <w:p>
            <w:r>
              <w:rPr/>
              <w:t>投标报价</w:t>
            </w:r>
          </w:p>
        </w:tc>
        <w:tc>
          <w:tcPr>
            <w:tcW w:type="dxa" w:w="4238"/>
          </w:tcPr>
          <w:p>
            <w:r>
              <w:rPr/>
              <w:t>投标报价未超过本采购包预算金额以及招标文件第二章《采购需求》内《产品最高限价、交货期及质保期明细》表格内的最高限价与最高单价限价。</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采购包1(电离辐射检测仪、便携音响设备声级测试系统):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(35.0分)</w:t>
            </w:r>
          </w:p>
        </w:tc>
        <w:tc>
          <w:tcPr>
            <w:tcW w:type="dxa" w:w="5076"/>
          </w:tcPr>
          <w:p>
            <w:pPr>
              <w:jc w:val="left"/>
            </w:pPr>
            <w:r>
              <w:rPr/>
              <w:t>根据招标文件《第二章 采购需求》“技术标准与要求”中的指标响应程度进行评分：  1、带“▲”参数：无偏离或正偏离的,每满足一项得3分，本小项最高得30分； 2、不带“▲”或“★”参数：无偏离或正偏离的,每满足一项得1分，本小项最高5分；  3、本项最高得35分。  注：每一项是指技术标准与要求附表内“技术(参数)要求内的每一栏”。带“▲”条款的技术标准与要求须提供产品彩页证明扫描件或产品说明书扫描件或检测（校准）报告扫描件或官网截图或厂家(或代理商)盖章确认的技术参数确认函，如在技术参数内有要求提供其他证明材料的，应提供相应证明材料，否则视为不满足。为方便评审，建议将关键内容进行标注。</w:t>
            </w:r>
          </w:p>
        </w:tc>
      </w:tr>
      <w:tr>
        <w:tc>
          <w:tcPr>
            <w:tcW w:type="dxa" w:w="922"/>
            <w:gridSpan w:val="2"/>
            <w:vMerge/>
          </w:tcPr>
          <w:p/>
        </w:tc>
        <w:tc>
          <w:tcPr>
            <w:tcW w:type="dxa" w:w="2307"/>
          </w:tcPr>
          <w:p>
            <w:pPr>
              <w:jc w:val="left"/>
            </w:pPr>
            <w:r>
              <w:rPr/>
              <w:t>设备质量 (8.0分)</w:t>
            </w:r>
            <w:r>
              <w:rPr/>
              <w:t>，（等次分值选择：</w:t>
            </w:r>
            <w:r>
              <w:rPr/>
              <w:t>0.0;</w:t>
            </w:r>
            <w:r>
              <w:rPr/>
              <w:t>2.0;</w:t>
            </w:r>
            <w:r>
              <w:rPr/>
              <w:t>5.0;</w:t>
            </w:r>
            <w:r>
              <w:rPr/>
              <w:t>8.0;</w:t>
            </w:r>
            <w:r>
              <w:rPr/>
              <w:t>）</w:t>
            </w:r>
          </w:p>
        </w:tc>
        <w:tc>
          <w:tcPr>
            <w:tcW w:type="dxa" w:w="5076"/>
          </w:tcPr>
          <w:p>
            <w:pPr>
              <w:jc w:val="left"/>
            </w:pPr>
            <w:r>
              <w:rPr/>
              <w:t>根据所投设备质量的稳定性、可维护性进行评审：  1、设备性能完全满足招标文件需求，具有稳定性及可维护性，得8分。  2、设备性能基本满足招标文件需求，有一定可维护性，得5分。  3、设备性能不满足招标文件需求，稳定性及可维护性不足，得2分。  4、其他或没有提供不得分。</w:t>
            </w:r>
          </w:p>
        </w:tc>
      </w:tr>
      <w:tr>
        <w:tc>
          <w:tcPr>
            <w:tcW w:type="dxa" w:w="922"/>
            <w:gridSpan w:val="2"/>
            <w:vMerge/>
          </w:tcPr>
          <w:p/>
        </w:tc>
        <w:tc>
          <w:tcPr>
            <w:tcW w:type="dxa" w:w="2307"/>
          </w:tcPr>
          <w:p>
            <w:pPr>
              <w:jc w:val="left"/>
            </w:pPr>
            <w:r>
              <w:rPr/>
              <w:t>实施方案 (7.0分)</w:t>
            </w:r>
            <w:r>
              <w:rPr/>
              <w:t>，（等次分值选择：</w:t>
            </w:r>
            <w:r>
              <w:rPr/>
              <w:t>0.0;</w:t>
            </w:r>
            <w:r>
              <w:rPr/>
              <w:t>1.0;</w:t>
            </w:r>
            <w:r>
              <w:rPr/>
              <w:t>4.0;</w:t>
            </w:r>
            <w:r>
              <w:rPr/>
              <w:t>7.0;</w:t>
            </w:r>
            <w:r>
              <w:rPr/>
              <w:t>）</w:t>
            </w:r>
          </w:p>
        </w:tc>
        <w:tc>
          <w:tcPr>
            <w:tcW w:type="dxa" w:w="5076"/>
          </w:tcPr>
          <w:p>
            <w:pPr>
              <w:jc w:val="left"/>
            </w:pPr>
            <w:r>
              <w:rPr/>
              <w:t>根据投标人提供的实施方案（包括包括但不限于运输方案、安装调试人员安排、安装调试计划流程、验收标准、验收保障方案等）进行评审： 1、实施方案详细完整，可行性强，能完全满足招标文件要求的得7分；  2、实施方案基本完整，有一定可行性，基本满足招标文件要求的得4分；  3、实施方案较差，可行性差，不满足招标文件要求的得1分。  4、其他或没有提供不得分。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p>
        </w:tc>
        <w:tc>
          <w:tcPr>
            <w:tcW w:type="dxa" w:w="5076"/>
          </w:tcPr>
          <w:p>
            <w:pPr>
              <w:jc w:val="left"/>
            </w:pPr>
            <w:r>
              <w:rPr/>
              <w:t>根据招标文件《第二章 采购需求》主要商务要求的响应程度进行评分：非“★”条款：全部无偏离或正偏离的得4分，其他情形不得分。本项最高得4分。</w:t>
            </w:r>
          </w:p>
        </w:tc>
      </w:tr>
      <w:tr>
        <w:tc>
          <w:tcPr>
            <w:tcW w:type="dxa" w:w="922"/>
            <w:gridSpan w:val="2"/>
            <w:vMerge/>
          </w:tcPr>
          <w:p/>
        </w:tc>
        <w:tc>
          <w:tcPr>
            <w:tcW w:type="dxa" w:w="2307"/>
          </w:tcPr>
          <w:p>
            <w:pPr>
              <w:jc w:val="left"/>
            </w:pPr>
            <w:r>
              <w:rPr/>
              <w:t>企业认证 (3.0分)</w:t>
            </w:r>
          </w:p>
        </w:tc>
        <w:tc>
          <w:tcPr>
            <w:tcW w:type="dxa" w:w="5076"/>
          </w:tcPr>
          <w:p>
            <w:pPr>
              <w:jc w:val="left"/>
            </w:pPr>
            <w:r>
              <w:rPr/>
              <w:t>投标人获得有效的质量管理体系认证、环境管理体系认证和职业健康安全管理体系认证的，每提供一个证书得1分，本项最高得3分。 注：须提供认证证书扫描件作为评审依据，不提供的不得分。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vMerge/>
          </w:tcPr>
          <w:p/>
        </w:tc>
        <w:tc>
          <w:tcPr>
            <w:tcW w:type="dxa" w:w="2307"/>
          </w:tcPr>
          <w:p>
            <w:pPr>
              <w:jc w:val="left"/>
            </w:pPr>
            <w:r>
              <w:rPr/>
              <w:t>质保期承诺 (3.0分)</w:t>
            </w:r>
          </w:p>
        </w:tc>
        <w:tc>
          <w:tcPr>
            <w:tcW w:type="dxa" w:w="5076"/>
          </w:tcPr>
          <w:p>
            <w:pPr>
              <w:jc w:val="left"/>
            </w:pPr>
            <w:r>
              <w:rPr/>
              <w:t>根据投标人承诺的质保期进行评审：满足采购人需求基础上，质保期每延长一年得1分，本项最高得3分。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项目业绩 (5.0分)</w:t>
            </w:r>
          </w:p>
        </w:tc>
        <w:tc>
          <w:tcPr>
            <w:tcW w:type="dxa" w:w="5076"/>
          </w:tcPr>
          <w:p>
            <w:pPr>
              <w:jc w:val="left"/>
            </w:pPr>
            <w:r>
              <w:rPr/>
              <w:t>自2020年1月1日起以来（以合同签订时间为准），提供投标人完成的同类项目业绩，或提供所投产品业绩，每提供一项得1分，最高得5分。 注：须提供合同扫描件（含签订合同双方的单位名称、合同项目名称、合同主要内容、签订合同双方的落款盖章页）作为业绩证明资料。不提供或资料不全不得分。为方便评审，建议将关键内容进行标注。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价格分应当采用低价优先法计算，即满足招标文件要求且投标价格最低的投标（响应）报价为评标基准价，其价格分为满分。其他响应供应商的价格分统一按照下列公式计算： 投标（响应）报价得分=(评标基准价／投标（响应）报价)×价格权重 ×100 备注：1、因落实政府采购政策进行价格调整的，以调整后的价格计算投标报价得分。  2、投标报价得分四舍五入后，小数点后保留两位有效数。</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sz w:val="48"/>
        </w:rPr>
        <w:t xml:space="preserve"> </w:t>
      </w:r>
    </w:p>
    <w:p>
      <w:pPr>
        <w:jc w:val="center"/>
      </w:pPr>
    </w:p>
    <w:p>
      <w:pPr>
        <w:jc w:val="center"/>
      </w:pPr>
    </w:p>
    <w:p>
      <w:pPr>
        <w:jc w:val="center"/>
      </w:pPr>
    </w:p>
    <w:p>
      <w:pPr>
        <w:jc w:val="center"/>
      </w:pPr>
    </w:p>
    <w:p>
      <w:pPr>
        <w:jc w:val="center"/>
      </w:pPr>
      <w:r>
        <w:rPr>
          <w:b/>
          <w:sz w:val="21"/>
        </w:rPr>
        <w:t xml:space="preserve"> </w:t>
      </w:r>
    </w:p>
    <w:p>
      <w:pPr>
        <w:jc w:val="center"/>
      </w:pPr>
      <w:r>
        <w:rPr>
          <w:b/>
          <w:sz w:val="48"/>
        </w:rPr>
        <w:t>广东省政府采购</w:t>
      </w:r>
    </w:p>
    <w:p>
      <w:pPr>
        <w:jc w:val="both"/>
      </w:pPr>
      <w:r>
        <w:rPr>
          <w:b/>
          <w:sz w:val="21"/>
        </w:rPr>
        <w:t xml:space="preserve"> </w:t>
      </w:r>
    </w:p>
    <w:p>
      <w:pPr>
        <w:jc w:val="center"/>
      </w:pPr>
      <w:r>
        <w:rPr>
          <w:b/>
          <w:sz w:val="48"/>
        </w:rPr>
        <w:t>合　同　书</w:t>
      </w:r>
    </w:p>
    <w:p>
      <w:pPr>
        <w:jc w:val="center"/>
      </w:pPr>
    </w:p>
    <w:p>
      <w:pPr>
        <w:jc w:val="center"/>
      </w:pPr>
    </w:p>
    <w:p>
      <w:pPr>
        <w:jc w:val="center"/>
      </w:pPr>
    </w:p>
    <w:p>
      <w:pPr>
        <w:jc w:val="center"/>
      </w:pPr>
    </w:p>
    <w:p>
      <w:pPr>
        <w:jc w:val="center"/>
      </w:pPr>
    </w:p>
    <w:p>
      <w:pPr>
        <w:jc w:val="center"/>
      </w:pPr>
      <w:r>
        <w:rPr>
          <w:sz w:val="21"/>
        </w:rPr>
        <w:t xml:space="preserve"> </w:t>
      </w:r>
    </w:p>
    <w:p>
      <w:pPr>
        <w:jc w:val="center"/>
      </w:pPr>
      <w:r>
        <w:rPr>
          <w:b/>
          <w:color w:val="222222"/>
          <w:sz w:val="28"/>
        </w:rPr>
        <w:t>合同编号：</w:t>
      </w:r>
      <w:r>
        <w:rPr>
          <w:b/>
          <w:color w:val="222222"/>
          <w:sz w:val="28"/>
        </w:rPr>
        <w:t>（</w:t>
      </w:r>
      <w:r>
        <w:rPr>
          <w:b/>
          <w:color w:val="222222"/>
          <w:sz w:val="28"/>
        </w:rPr>
        <w:t>采购计划编号</w:t>
      </w:r>
      <w:r>
        <w:rPr>
          <w:b/>
          <w:color w:val="222222"/>
          <w:sz w:val="28"/>
        </w:rPr>
        <w:t>）</w:t>
      </w:r>
      <w:r>
        <w:rPr>
          <w:b/>
          <w:color w:val="222222"/>
          <w:sz w:val="28"/>
        </w:rPr>
        <w:t>-</w:t>
      </w:r>
      <w:r>
        <w:rPr>
          <w:b/>
          <w:color w:val="222222"/>
          <w:sz w:val="28"/>
        </w:rPr>
        <w:t>x</w:t>
      </w:r>
      <w:r>
        <w:rPr>
          <w:b/>
          <w:sz w:val="21"/>
        </w:rPr>
        <w:t xml:space="preserve">       </w:t>
      </w:r>
    </w:p>
    <w:p>
      <w:pPr>
        <w:jc w:val="center"/>
      </w:pPr>
    </w:p>
    <w:p>
      <w:pPr>
        <w:jc w:val="center"/>
      </w:pPr>
    </w:p>
    <w:p>
      <w:pPr>
        <w:jc w:val="center"/>
      </w:pPr>
      <w:r>
        <w:rPr>
          <w:b/>
          <w:sz w:val="28"/>
        </w:rPr>
        <w:t xml:space="preserve">   </w:t>
      </w:r>
      <w:r>
        <w:rPr>
          <w:b/>
          <w:sz w:val="28"/>
        </w:rPr>
        <w:t>合同名称：佛山市质量计量监督检测中心</w:t>
      </w:r>
      <w:r>
        <w:rPr>
          <w:b/>
          <w:sz w:val="28"/>
        </w:rPr>
        <w:t>2023</w:t>
      </w:r>
      <w:r>
        <w:rPr>
          <w:b/>
          <w:sz w:val="28"/>
        </w:rPr>
        <w:t>年度质量检测能力提升设备采购项目（</w:t>
      </w:r>
      <w:r>
        <w:rPr>
          <w:b/>
          <w:sz w:val="28"/>
        </w:rPr>
        <w:t>二</w:t>
      </w:r>
      <w:r>
        <w:rPr>
          <w:b/>
          <w:sz w:val="28"/>
        </w:rPr>
        <w:t>）采购包</w:t>
      </w:r>
      <w:r>
        <w:rPr>
          <w:b/>
          <w:sz w:val="28"/>
        </w:rPr>
        <w:t>x</w:t>
      </w:r>
      <w:r>
        <w:rPr>
          <w:b/>
          <w:sz w:val="21"/>
        </w:rPr>
        <w:t xml:space="preserve"> </w:t>
      </w:r>
      <w:r>
        <w:rPr>
          <w:b/>
          <w:sz w:val="21"/>
        </w:rPr>
        <w:t xml:space="preserve"> </w:t>
      </w:r>
    </w:p>
    <w:p>
      <w:pPr>
        <w:ind w:firstLine="420"/>
        <w:jc w:val="both"/>
      </w:pPr>
    </w:p>
    <w:p>
      <w:pPr>
        <w:jc w:val="center"/>
      </w:pPr>
      <w:r>
        <w:rPr>
          <w:b/>
          <w:sz w:val="28"/>
        </w:rPr>
        <w:t>项目名称：佛山市质量计量监督检测中心</w:t>
      </w:r>
      <w:r>
        <w:rPr>
          <w:b/>
          <w:sz w:val="28"/>
        </w:rPr>
        <w:t>2023</w:t>
      </w:r>
      <w:r>
        <w:rPr>
          <w:b/>
          <w:sz w:val="28"/>
        </w:rPr>
        <w:t>年度</w:t>
      </w:r>
    </w:p>
    <w:p>
      <w:pPr>
        <w:jc w:val="center"/>
      </w:pPr>
      <w:r>
        <w:rPr>
          <w:b/>
          <w:sz w:val="28"/>
        </w:rPr>
        <w:t>质量检测能力提升设备采购项目（</w:t>
      </w:r>
      <w:r>
        <w:rPr>
          <w:b/>
          <w:sz w:val="28"/>
        </w:rPr>
        <w:t>二</w:t>
      </w:r>
      <w:r>
        <w:rPr>
          <w:b/>
          <w:sz w:val="28"/>
        </w:rPr>
        <w:t>）</w:t>
      </w:r>
    </w:p>
    <w:p>
      <w:pPr>
        <w:jc w:val="both"/>
      </w:pPr>
      <w:r>
        <w:rPr>
          <w:sz w:val="21"/>
        </w:rPr>
        <w:t xml:space="preserve"> </w:t>
      </w:r>
    </w:p>
    <w:p>
      <w:pPr>
        <w:jc w:val="center"/>
      </w:pPr>
      <w:r>
        <w:rPr>
          <w:b/>
          <w:sz w:val="28"/>
        </w:rPr>
        <w:t>项目编号：</w:t>
      </w:r>
    </w:p>
    <w:p>
      <w:pPr>
        <w:jc w:val="center"/>
      </w:pPr>
      <w:r>
        <w:rPr>
          <w:sz w:val="21"/>
        </w:rPr>
        <w:t xml:space="preserve"> </w:t>
      </w:r>
    </w:p>
    <w:p>
      <w:pPr>
        <w:jc w:val="center"/>
      </w:pPr>
      <w:r>
        <w:rPr>
          <w:b/>
          <w:sz w:val="28"/>
        </w:rPr>
        <w:t>采购计划备案编号：</w:t>
      </w:r>
    </w:p>
    <w:p>
      <w:pPr>
        <w:jc w:val="center"/>
      </w:pPr>
    </w:p>
    <w:p>
      <w:pPr>
        <w:jc w:val="center"/>
      </w:pPr>
      <w:r>
        <w:rPr>
          <w:b/>
          <w:sz w:val="28"/>
        </w:rPr>
        <w:t>采购包号：采购包</w:t>
      </w:r>
      <w:r>
        <w:rPr>
          <w:b/>
          <w:sz w:val="28"/>
        </w:rPr>
        <w:t>X</w:t>
      </w:r>
    </w:p>
    <w:p>
      <w:pPr>
        <w:jc w:val="center"/>
      </w:pP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both"/>
      </w:pPr>
    </w:p>
    <w:p/>
    <w:p/>
    <w:p>
      <w:r>
        <w:rPr/>
        <w:t xml:space="preserve"> </w:t>
      </w:r>
    </w:p>
    <w:p>
      <w:pPr>
        <w:jc w:val="both"/>
      </w:pPr>
      <w:r>
        <w:rPr>
          <w:sz w:val="21"/>
        </w:rPr>
        <w:t>甲方（采购人）：佛山市质量计量监督检测中心</w:t>
      </w:r>
    </w:p>
    <w:p>
      <w:pPr>
        <w:jc w:val="both"/>
      </w:pPr>
      <w:r>
        <w:rPr>
          <w:sz w:val="21"/>
        </w:rPr>
        <w:t>电话：</w:t>
      </w:r>
      <w:r>
        <w:rPr>
          <w:sz w:val="21"/>
        </w:rPr>
        <w:t xml:space="preserve">0757-88780020                  </w:t>
      </w:r>
    </w:p>
    <w:p>
      <w:pPr>
        <w:jc w:val="both"/>
      </w:pPr>
      <w:r>
        <w:rPr>
          <w:sz w:val="21"/>
        </w:rPr>
        <w:t>地址：佛山市南海区狮山镇科技西路</w:t>
      </w:r>
      <w:r>
        <w:rPr>
          <w:sz w:val="21"/>
        </w:rPr>
        <w:t>2</w:t>
      </w:r>
      <w:r>
        <w:rPr>
          <w:sz w:val="21"/>
        </w:rPr>
        <w:t>号</w:t>
      </w:r>
    </w:p>
    <w:p>
      <w:pPr>
        <w:jc w:val="both"/>
      </w:pPr>
      <w:r>
        <w:rPr>
          <w:sz w:val="21"/>
        </w:rPr>
        <w:t>乙方（</w:t>
      </w:r>
      <w:r>
        <w:rPr>
          <w:sz w:val="21"/>
        </w:rPr>
        <w:t>中标人</w:t>
      </w:r>
      <w:r>
        <w:rPr>
          <w:sz w:val="21"/>
        </w:rPr>
        <w:t>）：</w:t>
      </w:r>
    </w:p>
    <w:p>
      <w:pPr>
        <w:jc w:val="both"/>
      </w:pPr>
      <w:r>
        <w:rPr>
          <w:sz w:val="21"/>
        </w:rPr>
        <w:t>电话：</w:t>
      </w:r>
      <w:r>
        <w:rPr>
          <w:sz w:val="21"/>
        </w:rPr>
        <w:t xml:space="preserve">                            </w:t>
      </w:r>
      <w:r>
        <w:rPr>
          <w:sz w:val="21"/>
        </w:rPr>
        <w:t>联系人：</w:t>
      </w:r>
    </w:p>
    <w:p>
      <w:pPr>
        <w:jc w:val="both"/>
      </w:pPr>
      <w:r>
        <w:rPr>
          <w:sz w:val="21"/>
        </w:rPr>
        <w:t>地址：</w:t>
      </w:r>
    </w:p>
    <w:p>
      <w:pPr>
        <w:ind w:firstLine="420"/>
        <w:jc w:val="both"/>
      </w:pPr>
      <w:r>
        <w:rPr>
          <w:sz w:val="21"/>
        </w:rPr>
        <w:t>根据</w:t>
      </w:r>
      <w:r>
        <w:rPr>
          <w:b/>
          <w:sz w:val="21"/>
          <w:u w:val="single"/>
        </w:rPr>
        <w:t>佛山市质量计量监督检测中心</w:t>
      </w:r>
      <w:r>
        <w:rPr>
          <w:b/>
          <w:sz w:val="21"/>
          <w:u w:val="single"/>
        </w:rPr>
        <w:t>2023</w:t>
      </w:r>
      <w:r>
        <w:rPr>
          <w:b/>
          <w:sz w:val="21"/>
          <w:u w:val="single"/>
        </w:rPr>
        <w:t>年度质量检测能力提升设备采购项目（二）</w:t>
      </w:r>
      <w:r>
        <w:rPr>
          <w:sz w:val="21"/>
        </w:rPr>
        <w:t>，项目编号：</w:t>
      </w:r>
      <w:r>
        <w:rPr>
          <w:b/>
          <w:sz w:val="21"/>
          <w:u w:val="single"/>
        </w:rPr>
        <w:t xml:space="preserve">              </w:t>
      </w:r>
      <w:r>
        <w:rPr>
          <w:sz w:val="21"/>
        </w:rPr>
        <w:t>，</w:t>
      </w:r>
      <w:r>
        <w:rPr>
          <w:sz w:val="21"/>
        </w:rPr>
        <w:t>采购</w:t>
      </w:r>
      <w:r>
        <w:rPr>
          <w:sz w:val="21"/>
        </w:rPr>
        <w:t>包号：</w:t>
      </w:r>
      <w:r>
        <w:rPr>
          <w:sz w:val="21"/>
          <w:u w:val="single"/>
        </w:rPr>
        <w:t xml:space="preserve">    </w:t>
      </w:r>
      <w:r>
        <w:rPr>
          <w:sz w:val="21"/>
        </w:rPr>
        <w:t>的采购结果，按照《中华人民共和国政府采购法》、《中华人民共和国民法典（合同编）》的规定，经双方协商，本着平等互利和诚实信用的原则，一致同意签订本合同如下。</w:t>
      </w:r>
    </w:p>
    <w:p>
      <w:pPr>
        <w:jc w:val="both"/>
      </w:pPr>
      <w:r>
        <w:rPr>
          <w:b/>
          <w:sz w:val="21"/>
        </w:rPr>
        <w:t>一、货物内容</w:t>
      </w:r>
    </w:p>
    <w:tbl>
      <w:tblPr>
        <w:tblW w:w="0" w:type="auto"/>
        <w:tblBorders>
          <w:top w:val="none" w:color="000000" w:sz="4"/>
          <w:left w:val="none" w:color="000000" w:sz="4"/>
          <w:bottom w:val="none" w:color="000000" w:sz="4"/>
          <w:right w:val="none" w:color="000000" w:sz="4"/>
          <w:insideH w:val="none"/>
          <w:insideV w:val="none"/>
        </w:tblBorders>
      </w:tblPr>
      <w:tblGrid>
        <w:gridCol w:w="650"/>
        <w:gridCol w:w="1463"/>
        <w:gridCol w:w="662"/>
        <w:gridCol w:w="1113"/>
        <w:gridCol w:w="950"/>
        <w:gridCol w:w="738"/>
        <w:gridCol w:w="1238"/>
        <w:gridCol w:w="1438"/>
      </w:tblGrid>
      <w:tr>
        <w:tc>
          <w:tcPr>
            <w:tcW w:type="dxa" w:w="650"/>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463"/>
            <w:tcBorders>
              <w:top w:val="single" w:color="000000" w:sz="4"/>
              <w:left w:val="none" w:color="000000" w:sz="4"/>
              <w:bottom w:val="single" w:color="000000" w:sz="4"/>
              <w:right w:val="single" w:color="000000" w:sz="4"/>
            </w:tcBorders>
            <w:vAlign w:val="top"/>
          </w:tcPr>
          <w:p>
            <w:pPr>
              <w:jc w:val="center"/>
            </w:pPr>
            <w:r>
              <w:rPr>
                <w:sz w:val="21"/>
              </w:rPr>
              <w:t>商品名称</w:t>
            </w:r>
          </w:p>
        </w:tc>
        <w:tc>
          <w:tcPr>
            <w:tcW w:type="dxa" w:w="662"/>
            <w:tcBorders>
              <w:top w:val="single" w:color="000000" w:sz="4"/>
              <w:left w:val="none" w:color="000000" w:sz="4"/>
              <w:bottom w:val="single" w:color="000000" w:sz="4"/>
              <w:right w:val="single" w:color="000000" w:sz="4"/>
            </w:tcBorders>
            <w:vAlign w:val="top"/>
          </w:tcPr>
          <w:p>
            <w:pPr>
              <w:jc w:val="center"/>
            </w:pPr>
            <w:r>
              <w:rPr>
                <w:sz w:val="21"/>
              </w:rPr>
              <w:t>品牌</w:t>
            </w:r>
          </w:p>
        </w:tc>
        <w:tc>
          <w:tcPr>
            <w:tcW w:type="dxa" w:w="1113"/>
            <w:tcBorders>
              <w:top w:val="single" w:color="000000" w:sz="4"/>
              <w:left w:val="none" w:color="000000" w:sz="4"/>
              <w:bottom w:val="single" w:color="000000" w:sz="4"/>
              <w:right w:val="single" w:color="000000" w:sz="4"/>
            </w:tcBorders>
            <w:vAlign w:val="top"/>
          </w:tcPr>
          <w:p>
            <w:pPr>
              <w:jc w:val="center"/>
            </w:pPr>
            <w:r>
              <w:rPr>
                <w:sz w:val="21"/>
              </w:rPr>
              <w:t>规格型号、配置（性能参数</w:t>
            </w:r>
          </w:p>
          <w:p>
            <w:pPr>
              <w:jc w:val="center"/>
            </w:pPr>
            <w:r>
              <w:rPr>
                <w:sz w:val="21"/>
              </w:rPr>
              <w:t>详见附件）</w:t>
            </w:r>
          </w:p>
        </w:tc>
        <w:tc>
          <w:tcPr>
            <w:tcW w:type="dxa" w:w="950"/>
            <w:tcBorders>
              <w:top w:val="single" w:color="000000" w:sz="4"/>
              <w:left w:val="none" w:color="000000" w:sz="4"/>
              <w:bottom w:val="single" w:color="000000" w:sz="4"/>
              <w:right w:val="single" w:color="000000" w:sz="4"/>
            </w:tcBorders>
            <w:vAlign w:val="top"/>
          </w:tcPr>
          <w:p>
            <w:pPr>
              <w:jc w:val="center"/>
            </w:pPr>
            <w:r>
              <w:rPr>
                <w:sz w:val="21"/>
              </w:rPr>
              <w:t>产地</w:t>
            </w:r>
          </w:p>
        </w:tc>
        <w:tc>
          <w:tcPr>
            <w:tcW w:type="dxa" w:w="738"/>
            <w:tcBorders>
              <w:top w:val="single" w:color="000000" w:sz="4"/>
              <w:left w:val="none" w:color="000000" w:sz="4"/>
              <w:bottom w:val="single" w:color="000000" w:sz="4"/>
              <w:right w:val="single" w:color="000000" w:sz="4"/>
            </w:tcBorders>
            <w:vAlign w:val="top"/>
          </w:tcPr>
          <w:p>
            <w:pPr>
              <w:jc w:val="center"/>
            </w:pPr>
            <w:r>
              <w:rPr>
                <w:sz w:val="21"/>
              </w:rPr>
              <w:t>数量</w:t>
            </w:r>
          </w:p>
        </w:tc>
        <w:tc>
          <w:tcPr>
            <w:tcW w:type="dxa" w:w="1238"/>
            <w:tcBorders>
              <w:top w:val="single" w:color="000000" w:sz="4"/>
              <w:left w:val="none" w:color="000000" w:sz="4"/>
              <w:bottom w:val="single" w:color="000000" w:sz="4"/>
              <w:right w:val="single" w:color="000000" w:sz="4"/>
            </w:tcBorders>
            <w:vAlign w:val="top"/>
          </w:tcPr>
          <w:p>
            <w:pPr>
              <w:jc w:val="center"/>
            </w:pPr>
            <w:r>
              <w:rPr>
                <w:sz w:val="21"/>
              </w:rPr>
              <w:t>单价</w:t>
            </w:r>
            <w:r>
              <w:rPr>
                <w:sz w:val="21"/>
              </w:rPr>
              <w:t>(</w:t>
            </w:r>
            <w:r>
              <w:rPr>
                <w:sz w:val="21"/>
              </w:rPr>
              <w:t>元</w:t>
            </w:r>
            <w:r>
              <w:rPr>
                <w:sz w:val="21"/>
              </w:rPr>
              <w:t>)</w:t>
            </w:r>
          </w:p>
        </w:tc>
        <w:tc>
          <w:tcPr>
            <w:tcW w:type="dxa" w:w="1438"/>
            <w:tcBorders>
              <w:top w:val="single" w:color="000000" w:sz="4"/>
              <w:left w:val="none" w:color="000000" w:sz="4"/>
              <w:bottom w:val="single" w:color="000000" w:sz="4"/>
              <w:right w:val="single" w:color="000000" w:sz="4"/>
            </w:tcBorders>
            <w:vAlign w:val="top"/>
          </w:tcPr>
          <w:p>
            <w:pPr>
              <w:jc w:val="center"/>
            </w:pPr>
            <w:r>
              <w:rPr>
                <w:sz w:val="21"/>
              </w:rPr>
              <w:t>金额</w:t>
            </w:r>
            <w:r>
              <w:rPr>
                <w:sz w:val="21"/>
              </w:rPr>
              <w:t>(</w:t>
            </w:r>
            <w:r>
              <w:rPr>
                <w:sz w:val="21"/>
              </w:rPr>
              <w:t>元</w:t>
            </w:r>
            <w:r>
              <w:rPr>
                <w:sz w:val="21"/>
              </w:rPr>
              <w:t>)</w:t>
            </w:r>
          </w:p>
        </w:tc>
      </w:tr>
      <w:tr>
        <w:tc>
          <w:tcPr>
            <w:tcW w:type="dxa" w:w="65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63"/>
            <w:tcBorders>
              <w:top w:val="none" w:color="000000" w:sz="4"/>
              <w:left w:val="none" w:color="000000" w:sz="4"/>
              <w:bottom w:val="single" w:color="000000" w:sz="4"/>
              <w:right w:val="single" w:color="000000" w:sz="4"/>
            </w:tcBorders>
            <w:vAlign w:val="top"/>
          </w:tcPr>
          <w:p>
            <w:pPr>
              <w:jc w:val="left"/>
            </w:pPr>
          </w:p>
        </w:tc>
        <w:tc>
          <w:tcPr>
            <w:tcW w:type="dxa" w:w="662"/>
            <w:tcBorders>
              <w:top w:val="none" w:color="000000" w:sz="4"/>
              <w:left w:val="none" w:color="000000" w:sz="4"/>
              <w:bottom w:val="single" w:color="000000" w:sz="4"/>
              <w:right w:val="single" w:color="000000" w:sz="4"/>
            </w:tcBorders>
            <w:vAlign w:val="top"/>
          </w:tcPr>
          <w:p>
            <w:pPr>
              <w:jc w:val="center"/>
            </w:pPr>
          </w:p>
        </w:tc>
        <w:tc>
          <w:tcPr>
            <w:tcW w:type="dxa" w:w="1113"/>
            <w:tcBorders>
              <w:top w:val="none" w:color="000000" w:sz="4"/>
              <w:left w:val="none" w:color="000000" w:sz="4"/>
              <w:bottom w:val="single" w:color="000000" w:sz="4"/>
              <w:right w:val="single" w:color="000000" w:sz="4"/>
            </w:tcBorders>
            <w:vAlign w:val="top"/>
          </w:tcPr>
          <w:p>
            <w:pPr>
              <w:jc w:val="center"/>
            </w:pPr>
          </w:p>
        </w:tc>
        <w:tc>
          <w:tcPr>
            <w:tcW w:type="dxa" w:w="950"/>
            <w:tcBorders>
              <w:top w:val="none" w:color="000000" w:sz="4"/>
              <w:left w:val="none" w:color="000000" w:sz="4"/>
              <w:bottom w:val="single" w:color="000000" w:sz="4"/>
              <w:right w:val="single" w:color="000000" w:sz="4"/>
            </w:tcBorders>
            <w:vAlign w:val="top"/>
          </w:tcPr>
          <w:p>
            <w:pPr>
              <w:jc w:val="center"/>
            </w:pPr>
          </w:p>
        </w:tc>
        <w:tc>
          <w:tcPr>
            <w:tcW w:type="dxa" w:w="738"/>
            <w:tcBorders>
              <w:top w:val="none" w:color="000000" w:sz="4"/>
              <w:left w:val="none" w:color="000000" w:sz="4"/>
              <w:bottom w:val="single" w:color="000000" w:sz="4"/>
              <w:right w:val="single" w:color="000000" w:sz="4"/>
            </w:tcBorders>
            <w:vAlign w:val="top"/>
          </w:tcPr>
          <w:p>
            <w:pPr>
              <w:jc w:val="center"/>
            </w:pPr>
          </w:p>
        </w:tc>
        <w:tc>
          <w:tcPr>
            <w:tcW w:type="dxa" w:w="1238"/>
            <w:tcBorders>
              <w:top w:val="none" w:color="000000" w:sz="4"/>
              <w:left w:val="none" w:color="000000" w:sz="4"/>
              <w:bottom w:val="single" w:color="000000" w:sz="4"/>
              <w:right w:val="single" w:color="000000" w:sz="4"/>
            </w:tcBorders>
            <w:vAlign w:val="top"/>
          </w:tcPr>
          <w:p>
            <w:pPr>
              <w:jc w:val="center"/>
            </w:pPr>
          </w:p>
        </w:tc>
        <w:tc>
          <w:tcPr>
            <w:tcW w:type="dxa" w:w="1438"/>
            <w:tcBorders>
              <w:top w:val="none" w:color="000000" w:sz="4"/>
              <w:left w:val="none" w:color="000000" w:sz="4"/>
              <w:bottom w:val="single" w:color="000000" w:sz="4"/>
              <w:right w:val="single" w:color="000000" w:sz="4"/>
            </w:tcBorders>
            <w:vAlign w:val="top"/>
          </w:tcPr>
          <w:p>
            <w:pPr>
              <w:jc w:val="center"/>
            </w:pPr>
          </w:p>
        </w:tc>
      </w:tr>
      <w:tr>
        <w:tc>
          <w:tcPr>
            <w:tcW w:type="dxa" w:w="65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463"/>
            <w:tcBorders>
              <w:top w:val="none" w:color="000000" w:sz="4"/>
              <w:left w:val="none" w:color="000000" w:sz="4"/>
              <w:bottom w:val="single" w:color="000000" w:sz="4"/>
              <w:right w:val="single" w:color="000000" w:sz="4"/>
            </w:tcBorders>
            <w:vAlign w:val="top"/>
          </w:tcPr>
          <w:p>
            <w:pPr>
              <w:jc w:val="left"/>
            </w:pPr>
          </w:p>
        </w:tc>
        <w:tc>
          <w:tcPr>
            <w:tcW w:type="dxa" w:w="662"/>
            <w:tcBorders>
              <w:top w:val="none" w:color="000000" w:sz="4"/>
              <w:left w:val="none" w:color="000000" w:sz="4"/>
              <w:bottom w:val="single" w:color="000000" w:sz="4"/>
              <w:right w:val="single" w:color="000000" w:sz="4"/>
            </w:tcBorders>
            <w:vAlign w:val="top"/>
          </w:tcPr>
          <w:p>
            <w:pPr>
              <w:jc w:val="center"/>
            </w:pPr>
          </w:p>
        </w:tc>
        <w:tc>
          <w:tcPr>
            <w:tcW w:type="dxa" w:w="1113"/>
            <w:tcBorders>
              <w:top w:val="none" w:color="000000" w:sz="4"/>
              <w:left w:val="none" w:color="000000" w:sz="4"/>
              <w:bottom w:val="single" w:color="000000" w:sz="4"/>
              <w:right w:val="single" w:color="000000" w:sz="4"/>
            </w:tcBorders>
            <w:vAlign w:val="top"/>
          </w:tcPr>
          <w:p>
            <w:pPr>
              <w:jc w:val="center"/>
            </w:pPr>
          </w:p>
        </w:tc>
        <w:tc>
          <w:tcPr>
            <w:tcW w:type="dxa" w:w="950"/>
            <w:tcBorders>
              <w:top w:val="none" w:color="000000" w:sz="4"/>
              <w:left w:val="none" w:color="000000" w:sz="4"/>
              <w:bottom w:val="single" w:color="000000" w:sz="4"/>
              <w:right w:val="single" w:color="000000" w:sz="4"/>
            </w:tcBorders>
            <w:vAlign w:val="top"/>
          </w:tcPr>
          <w:p>
            <w:pPr>
              <w:jc w:val="center"/>
            </w:pPr>
          </w:p>
        </w:tc>
        <w:tc>
          <w:tcPr>
            <w:tcW w:type="dxa" w:w="738"/>
            <w:tcBorders>
              <w:top w:val="none" w:color="000000" w:sz="4"/>
              <w:left w:val="none" w:color="000000" w:sz="4"/>
              <w:bottom w:val="single" w:color="000000" w:sz="4"/>
              <w:right w:val="single" w:color="000000" w:sz="4"/>
            </w:tcBorders>
            <w:vAlign w:val="top"/>
          </w:tcPr>
          <w:p>
            <w:pPr>
              <w:jc w:val="center"/>
            </w:pPr>
          </w:p>
        </w:tc>
        <w:tc>
          <w:tcPr>
            <w:tcW w:type="dxa" w:w="1238"/>
            <w:tcBorders>
              <w:top w:val="none" w:color="000000" w:sz="4"/>
              <w:left w:val="none" w:color="000000" w:sz="4"/>
              <w:bottom w:val="single" w:color="000000" w:sz="4"/>
              <w:right w:val="single" w:color="000000" w:sz="4"/>
            </w:tcBorders>
            <w:vAlign w:val="top"/>
          </w:tcPr>
          <w:p>
            <w:pPr>
              <w:jc w:val="center"/>
            </w:pPr>
          </w:p>
        </w:tc>
        <w:tc>
          <w:tcPr>
            <w:tcW w:type="dxa" w:w="1438"/>
            <w:tcBorders>
              <w:top w:val="none" w:color="000000" w:sz="4"/>
              <w:left w:val="none" w:color="000000" w:sz="4"/>
              <w:bottom w:val="single" w:color="000000" w:sz="4"/>
              <w:right w:val="single" w:color="000000" w:sz="4"/>
            </w:tcBorders>
            <w:vAlign w:val="top"/>
          </w:tcPr>
          <w:p>
            <w:pPr>
              <w:jc w:val="center"/>
            </w:pPr>
          </w:p>
        </w:tc>
      </w:tr>
      <w:tr>
        <w:tc>
          <w:tcPr>
            <w:tcW w:type="dxa" w:w="8252"/>
            <w:gridSpan w:val="8"/>
            <w:tcBorders>
              <w:top w:val="none" w:color="000000" w:sz="4"/>
              <w:left w:val="single" w:color="000000" w:sz="4"/>
              <w:bottom w:val="single" w:color="000000" w:sz="4"/>
              <w:right w:val="single" w:color="000000" w:sz="4"/>
            </w:tcBorders>
            <w:vAlign w:val="top"/>
          </w:tcPr>
          <w:p>
            <w:pPr>
              <w:jc w:val="center"/>
            </w:pPr>
            <w:r>
              <w:rPr>
                <w:sz w:val="21"/>
              </w:rPr>
              <w:t>合计总额：￥</w:t>
            </w:r>
            <w:r>
              <w:rPr>
                <w:sz w:val="21"/>
                <w:u w:val="single"/>
              </w:rPr>
              <w:t xml:space="preserve">    0.00</w:t>
            </w:r>
            <w:r>
              <w:rPr>
                <w:sz w:val="21"/>
              </w:rPr>
              <w:t>元；大写：人民币</w:t>
            </w:r>
            <w:r>
              <w:rPr>
                <w:sz w:val="21"/>
                <w:u w:val="single"/>
              </w:rPr>
              <w:t xml:space="preserve">       </w:t>
            </w:r>
            <w:r>
              <w:rPr>
                <w:sz w:val="21"/>
              </w:rPr>
              <w:t>元整</w:t>
            </w:r>
          </w:p>
        </w:tc>
      </w:tr>
    </w:tbl>
    <w:p>
      <w:pPr>
        <w:jc w:val="both"/>
      </w:pPr>
      <w:r>
        <w:rPr>
          <w:sz w:val="21"/>
        </w:rPr>
        <w:t>（一）合同金额为广东省佛山市目的地包干价。</w:t>
      </w:r>
    </w:p>
    <w:p>
      <w:pPr>
        <w:jc w:val="both"/>
      </w:pPr>
      <w:r>
        <w:rPr>
          <w:sz w:val="21"/>
        </w:rPr>
        <w:t>（二）合同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w:t>
      </w:r>
    </w:p>
    <w:p>
      <w:pPr>
        <w:jc w:val="both"/>
      </w:pPr>
      <w:r>
        <w:rPr>
          <w:sz w:val="21"/>
        </w:rPr>
        <w:t>（三）乙方在项目的实施过程中，甲方除了支付合同规定的款项外，一切合同规定外的费用将拒绝支付。</w:t>
      </w:r>
    </w:p>
    <w:p>
      <w:pPr>
        <w:jc w:val="both"/>
      </w:pPr>
      <w:r>
        <w:rPr>
          <w:sz w:val="21"/>
        </w:rPr>
        <w:t>注：货物名称内容必须与投标文件中货物名称内容一致。</w:t>
      </w:r>
    </w:p>
    <w:p>
      <w:pPr>
        <w:jc w:val="both"/>
      </w:pPr>
      <w:r>
        <w:rPr>
          <w:b/>
          <w:sz w:val="21"/>
        </w:rPr>
        <w:t>二、合同金额</w:t>
      </w:r>
    </w:p>
    <w:p>
      <w:pPr>
        <w:jc w:val="both"/>
      </w:pPr>
      <w:r>
        <w:rPr>
          <w:sz w:val="21"/>
        </w:rPr>
        <w:t>合同金额为（大写）：人民币</w:t>
      </w:r>
      <w:r>
        <w:rPr>
          <w:sz w:val="21"/>
        </w:rPr>
        <w:t xml:space="preserve">     </w:t>
      </w:r>
      <w:r>
        <w:rPr>
          <w:sz w:val="21"/>
        </w:rPr>
        <w:t>元整（￥</w:t>
      </w:r>
      <w:r>
        <w:rPr>
          <w:sz w:val="21"/>
        </w:rPr>
        <w:t xml:space="preserve">   .00</w:t>
      </w:r>
      <w:r>
        <w:rPr>
          <w:sz w:val="21"/>
        </w:rPr>
        <w:t>元）。</w:t>
      </w:r>
    </w:p>
    <w:p>
      <w:pPr>
        <w:jc w:val="both"/>
      </w:pPr>
      <w:r>
        <w:rPr>
          <w:b/>
          <w:sz w:val="21"/>
        </w:rPr>
        <w:t>三、交货期、交货方式及交货地点</w:t>
      </w:r>
    </w:p>
    <w:p>
      <w:pPr>
        <w:jc w:val="both"/>
      </w:pPr>
      <w:r>
        <w:rPr>
          <w:sz w:val="21"/>
        </w:rPr>
        <w:t>（一）交货期：自合同签订之日起</w:t>
      </w:r>
      <w:r>
        <w:rPr>
          <w:sz w:val="21"/>
          <w:u w:val="single"/>
        </w:rPr>
        <w:t xml:space="preserve">    </w:t>
      </w:r>
      <w:r>
        <w:rPr>
          <w:sz w:val="21"/>
        </w:rPr>
        <w:t>日历天交付并验收合格。</w:t>
      </w:r>
    </w:p>
    <w:p>
      <w:pPr>
        <w:jc w:val="both"/>
      </w:pPr>
      <w:r>
        <w:rPr>
          <w:sz w:val="21"/>
        </w:rPr>
        <w:t>（二）交货方式：详见</w:t>
      </w:r>
      <w:r>
        <w:rPr>
          <w:sz w:val="21"/>
        </w:rPr>
        <w:t>其他</w:t>
      </w:r>
      <w:r>
        <w:rPr>
          <w:sz w:val="21"/>
          <w:u w:val="single"/>
        </w:rPr>
        <w:t>商务条款；包装、保险及发运、保管要求</w:t>
      </w:r>
      <w:r>
        <w:rPr>
          <w:sz w:val="21"/>
        </w:rPr>
        <w:t>。</w:t>
      </w:r>
    </w:p>
    <w:p>
      <w:pPr>
        <w:jc w:val="both"/>
      </w:pPr>
      <w:r>
        <w:rPr>
          <w:sz w:val="21"/>
        </w:rPr>
        <w:t>（三）交货地点：佛山市质量计量监督检测中心。</w:t>
      </w:r>
    </w:p>
    <w:p>
      <w:pPr>
        <w:jc w:val="both"/>
      </w:pPr>
      <w:r>
        <w:rPr>
          <w:b/>
          <w:sz w:val="21"/>
        </w:rPr>
        <w:t>四、商务条款</w:t>
      </w:r>
    </w:p>
    <w:p>
      <w:pPr>
        <w:ind w:firstLine="420"/>
        <w:jc w:val="both"/>
      </w:pPr>
      <w:r>
        <w:rPr>
          <w:sz w:val="21"/>
        </w:rPr>
        <w:t>乙方在项目过程中（如货物安装、电路接线等）必须采取足够的安全措施，确保施工的安全，并自行负责相关安全责任。施工完毕后需清理好现场</w:t>
      </w:r>
      <w:r>
        <w:rPr>
          <w:sz w:val="21"/>
        </w:rPr>
        <w:t>,</w:t>
      </w:r>
      <w:r>
        <w:rPr>
          <w:sz w:val="21"/>
        </w:rPr>
        <w:t>将所有产生的垃圾带走。</w:t>
      </w:r>
    </w:p>
    <w:p>
      <w:pPr>
        <w:jc w:val="both"/>
      </w:pPr>
      <w:r>
        <w:rPr>
          <w:b/>
          <w:sz w:val="21"/>
        </w:rPr>
        <w:t>五、包装、保险及发运、保管要求</w:t>
      </w:r>
    </w:p>
    <w:p>
      <w:pPr>
        <w:jc w:val="both"/>
      </w:pPr>
      <w:r>
        <w:rPr>
          <w:sz w:val="21"/>
        </w:rPr>
        <w:t>（一）设备材料的包装必须是制造商原厂包装，其包装均应有良好的防湿、防锈、防潮、防雨、防腐及防碰撞的措施。凡由于包装不良造成的损失和由此产生的费用均由乙方承担。</w:t>
      </w:r>
    </w:p>
    <w:p>
      <w:pPr>
        <w:jc w:val="both"/>
      </w:pPr>
      <w:r>
        <w:rPr>
          <w:sz w:val="21"/>
        </w:rPr>
        <w:t>（二）乙方负责将设备材料货到现场过程中的全部运输，包括装卸车、货物现场的搬运。</w:t>
      </w:r>
    </w:p>
    <w:p>
      <w:pPr>
        <w:jc w:val="both"/>
      </w:pPr>
      <w:r>
        <w:rPr>
          <w:sz w:val="21"/>
        </w:rPr>
        <w:t>（三）各种设备必须提供装箱清单，按装箱清单验收货物。</w:t>
      </w:r>
    </w:p>
    <w:p>
      <w:pPr>
        <w:jc w:val="both"/>
      </w:pPr>
      <w:r>
        <w:rPr>
          <w:sz w:val="21"/>
        </w:rPr>
        <w:t>（四）货物在现场的保管由乙方负责，直至项目安装、验收完毕。</w:t>
      </w:r>
    </w:p>
    <w:p>
      <w:pPr>
        <w:jc w:val="both"/>
      </w:pPr>
      <w:r>
        <w:rPr>
          <w:sz w:val="21"/>
        </w:rPr>
        <w:t>（五）货物在系统安装调试验收合格前的保险由乙方负责，乙方负责其派出的现场服务人员人身意外责任，并应为服务人员购买相关保险。</w:t>
      </w:r>
    </w:p>
    <w:p>
      <w:pPr>
        <w:jc w:val="both"/>
      </w:pPr>
      <w:r>
        <w:rPr>
          <w:sz w:val="21"/>
        </w:rPr>
        <w:t>（六）设备至甲方指定的使用现场的包装、保险及发运等环节和费用均由乙方负责。</w:t>
      </w:r>
    </w:p>
    <w:p>
      <w:pPr>
        <w:jc w:val="both"/>
      </w:pPr>
      <w:r>
        <w:rPr>
          <w:b/>
          <w:sz w:val="21"/>
        </w:rPr>
        <w:t>六、培训</w:t>
      </w:r>
    </w:p>
    <w:p>
      <w:pPr>
        <w:jc w:val="both"/>
      </w:pPr>
      <w:r>
        <w:rPr>
          <w:sz w:val="21"/>
        </w:rPr>
        <w:t>（一）乙方须根据甲方的要求安排熟悉本项目的专业技术人员在甲方指定的地点（佛山市内）向甲方提供完备、全面的产品使用培训，培训内容包括设备的参数的设置、操作、维护保养、应急处理、简单故障排除等，确保甲方能够对设备、系统有足够的了解，能够独立进行日常操作、管理和维护。</w:t>
      </w:r>
    </w:p>
    <w:p>
      <w:pPr>
        <w:jc w:val="both"/>
      </w:pPr>
      <w:r>
        <w:rPr>
          <w:sz w:val="21"/>
        </w:rPr>
        <w:t>（二）乙方必须为所有被培训人员提供培训使用的文字资料和讲义等相关用品。</w:t>
      </w:r>
    </w:p>
    <w:p>
      <w:pPr>
        <w:jc w:val="both"/>
      </w:pPr>
      <w:r>
        <w:rPr>
          <w:sz w:val="21"/>
        </w:rPr>
        <w:t>（三）所有的培训费用包括差旅、食宿、教材、资料等由乙方负责，均包含在合同金额中。</w:t>
      </w:r>
    </w:p>
    <w:p>
      <w:pPr>
        <w:jc w:val="both"/>
      </w:pPr>
      <w:r>
        <w:rPr>
          <w:b/>
          <w:sz w:val="21"/>
        </w:rPr>
        <w:t>七、质保期及售后服务要求</w:t>
      </w:r>
    </w:p>
    <w:p>
      <w:pPr>
        <w:jc w:val="both"/>
      </w:pPr>
      <w:r>
        <w:rPr>
          <w:sz w:val="21"/>
        </w:rPr>
        <w:t>（一）质量保证期（简称</w:t>
      </w:r>
      <w:r>
        <w:rPr>
          <w:sz w:val="21"/>
        </w:rPr>
        <w:t>“</w:t>
      </w:r>
      <w:r>
        <w:rPr>
          <w:sz w:val="21"/>
        </w:rPr>
        <w:t>质保期</w:t>
      </w:r>
      <w:r>
        <w:rPr>
          <w:sz w:val="21"/>
        </w:rPr>
        <w:t>”</w:t>
      </w:r>
      <w:r>
        <w:rPr>
          <w:sz w:val="21"/>
        </w:rPr>
        <w:t>）为所有设备自交付验收合格之日起</w:t>
      </w:r>
      <w:r>
        <w:rPr>
          <w:sz w:val="21"/>
          <w:u w:val="single"/>
        </w:rPr>
        <w:t xml:space="preserve">   </w:t>
      </w:r>
      <w:r>
        <w:rPr>
          <w:sz w:val="21"/>
        </w:rPr>
        <w:t>年，质保期内乙方对所供货物实行包修、包换、包退、包维护保养，期满后可同时提供终身维修保养服务。</w:t>
      </w:r>
    </w:p>
    <w:p>
      <w:pPr>
        <w:jc w:val="both"/>
      </w:pPr>
      <w:r>
        <w:rPr>
          <w:sz w:val="21"/>
        </w:rPr>
        <w:t>（二）质保期内发生的质量问题，由乙方负责免费解决（因甲方使用不当或其他人为因素造成的故障除外）。如货物因自身故障致停用时间累计超过</w:t>
      </w:r>
      <w:r>
        <w:rPr>
          <w:sz w:val="21"/>
        </w:rPr>
        <w:t>20</w:t>
      </w:r>
      <w:r>
        <w:rPr>
          <w:sz w:val="21"/>
        </w:rPr>
        <w:t>天时，则质保期在状态恢复正常时重新计算或对故障设备予以重新更换。</w:t>
      </w:r>
    </w:p>
    <w:p>
      <w:pPr>
        <w:jc w:val="both"/>
      </w:pPr>
      <w:r>
        <w:rPr>
          <w:sz w:val="21"/>
        </w:rPr>
        <w:t>（三）任何时候，乙方均不能免除因货物本身的缺陷所应负的责任。</w:t>
      </w:r>
    </w:p>
    <w:p>
      <w:pPr>
        <w:jc w:val="both"/>
      </w:pPr>
      <w:r>
        <w:rPr>
          <w:sz w:val="21"/>
        </w:rPr>
        <w:t>（四）质保期内乙方提供上门免费服务，在质保期内设置每周</w:t>
      </w:r>
      <w:r>
        <w:rPr>
          <w:sz w:val="21"/>
        </w:rPr>
        <w:t>7</w:t>
      </w:r>
      <w:r>
        <w:rPr>
          <w:sz w:val="21"/>
        </w:rPr>
        <w:t>天</w:t>
      </w:r>
      <w:r>
        <w:rPr>
          <w:sz w:val="21"/>
        </w:rPr>
        <w:t>×24</w:t>
      </w:r>
      <w:r>
        <w:rPr>
          <w:sz w:val="21"/>
        </w:rPr>
        <w:t>小时服务专线和长期的免费技术支持，对甲方的服务通知，乙方必须在接报后</w:t>
      </w:r>
      <w:r>
        <w:rPr>
          <w:sz w:val="21"/>
        </w:rPr>
        <w:t>1</w:t>
      </w:r>
      <w:r>
        <w:rPr>
          <w:sz w:val="21"/>
        </w:rPr>
        <w:t>小时内响应，</w:t>
      </w:r>
      <w:r>
        <w:rPr>
          <w:sz w:val="21"/>
        </w:rPr>
        <w:t>72</w:t>
      </w:r>
      <w:r>
        <w:rPr>
          <w:sz w:val="21"/>
        </w:rPr>
        <w:t>小时内到达现场，</w:t>
      </w:r>
      <w:r>
        <w:rPr>
          <w:sz w:val="21"/>
        </w:rPr>
        <w:t>6</w:t>
      </w:r>
      <w:r>
        <w:rPr>
          <w:sz w:val="21"/>
        </w:rPr>
        <w:t>天内处理完毕。若故障规定时间内未能处理完毕的，乙方必须免费提供同等的设备予甲方临时使用或采取应急措施解决，不得影响甲方的正常工作业务。</w:t>
      </w:r>
    </w:p>
    <w:p>
      <w:pPr>
        <w:jc w:val="both"/>
      </w:pPr>
      <w:r>
        <w:rPr>
          <w:b/>
          <w:sz w:val="21"/>
        </w:rPr>
        <w:t>八、安装、调试与验收</w:t>
      </w:r>
    </w:p>
    <w:p>
      <w:pPr>
        <w:jc w:val="both"/>
      </w:pPr>
      <w:r>
        <w:rPr>
          <w:sz w:val="21"/>
        </w:rPr>
        <w:t>（一）</w:t>
      </w:r>
      <w:r>
        <w:rPr>
          <w:sz w:val="21"/>
        </w:rPr>
        <w:t>乙方</w:t>
      </w:r>
      <w:r>
        <w:rPr>
          <w:sz w:val="21"/>
        </w:rPr>
        <w:t>应保证本项目的</w:t>
      </w:r>
      <w:r>
        <w:rPr>
          <w:sz w:val="21"/>
        </w:rPr>
        <w:t>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如适用）。</w:t>
      </w:r>
    </w:p>
    <w:p>
      <w:pPr>
        <w:jc w:val="both"/>
      </w:pPr>
      <w:r>
        <w:rPr>
          <w:sz w:val="21"/>
        </w:rPr>
        <w:t>（二）依次序对照适用标准为：</w:t>
      </w:r>
      <w:r>
        <w:rPr>
          <w:sz w:val="21"/>
        </w:rPr>
        <w:t>①</w:t>
      </w:r>
      <w:r>
        <w:rPr>
          <w:sz w:val="21"/>
        </w:rPr>
        <w:t>符合中华人民共和国国家安全质量标准、环保标准或行业标准；</w:t>
      </w:r>
      <w:r>
        <w:rPr>
          <w:sz w:val="21"/>
        </w:rPr>
        <w:t>②</w:t>
      </w:r>
      <w:r>
        <w:rPr>
          <w:sz w:val="21"/>
        </w:rPr>
        <w:t>符合采购文件和响应承诺中甲方认可的合理最佳配置、参数及各项要求；</w:t>
      </w:r>
      <w:r>
        <w:rPr>
          <w:sz w:val="21"/>
        </w:rPr>
        <w:t>③</w:t>
      </w:r>
      <w:r>
        <w:rPr>
          <w:sz w:val="21"/>
        </w:rPr>
        <w:t>货物来源国官方标准。上述标准必须是有关官方机构发布的最新版本的标准。</w:t>
      </w:r>
    </w:p>
    <w:p>
      <w:pPr>
        <w:jc w:val="both"/>
      </w:pPr>
      <w:r>
        <w:rPr>
          <w:sz w:val="21"/>
        </w:rPr>
        <w:t>（三）安装调试：</w:t>
      </w:r>
    </w:p>
    <w:p>
      <w:pPr>
        <w:jc w:val="both"/>
      </w:pPr>
      <w:r>
        <w:rPr>
          <w:sz w:val="21"/>
        </w:rPr>
        <w:t>1.</w:t>
      </w:r>
      <w:r>
        <w:rPr>
          <w:sz w:val="21"/>
        </w:rPr>
        <w:t>乙方负责到甲方指定的安装地点进行安装调试。</w:t>
      </w:r>
    </w:p>
    <w:p>
      <w:pPr>
        <w:jc w:val="both"/>
      </w:pPr>
      <w:r>
        <w:rPr>
          <w:sz w:val="21"/>
        </w:rPr>
        <w:t>2.</w:t>
      </w:r>
      <w:r>
        <w:rPr>
          <w:sz w:val="21"/>
        </w:rPr>
        <w:t>乙方必须提供设备安装、集成及调测服务，并确保调试完成后，设备能够正常运行，达到甲方可正常使用状态。</w:t>
      </w:r>
    </w:p>
    <w:p>
      <w:pPr>
        <w:jc w:val="both"/>
      </w:pPr>
      <w:r>
        <w:rPr>
          <w:sz w:val="21"/>
        </w:rPr>
        <w:t>3.</w:t>
      </w:r>
      <w:r>
        <w:rPr>
          <w:sz w:val="21"/>
        </w:rPr>
        <w:t>安装所需工具设施物料由乙方自备、自费运到现场，完工后自费搬走。</w:t>
      </w:r>
    </w:p>
    <w:p>
      <w:pPr>
        <w:jc w:val="both"/>
      </w:pPr>
      <w:r>
        <w:rPr>
          <w:sz w:val="21"/>
        </w:rPr>
        <w:t>4.</w:t>
      </w:r>
      <w:r>
        <w:rPr>
          <w:sz w:val="21"/>
        </w:rPr>
        <w:t>设备、材料的拆箱、安装、通电、调试等工作由乙方负责，但若甲方有特定要求需要参与的，则须在甲方指定人员的参与下进行。</w:t>
      </w:r>
    </w:p>
    <w:p>
      <w:pPr>
        <w:jc w:val="both"/>
      </w:pPr>
      <w:r>
        <w:rPr>
          <w:sz w:val="21"/>
        </w:rPr>
        <w:t>5.</w:t>
      </w:r>
      <w:r>
        <w:rPr>
          <w:sz w:val="21"/>
        </w:rPr>
        <w:t>调试：按国家相关验收规范进行。调试的原始记录须经双方签字后作为验收的文件之一。</w:t>
      </w:r>
    </w:p>
    <w:p>
      <w:pPr>
        <w:jc w:val="both"/>
      </w:pPr>
      <w:r>
        <w:rPr>
          <w:sz w:val="21"/>
        </w:rPr>
        <w:t>6.</w:t>
      </w:r>
      <w:r>
        <w:rPr>
          <w:sz w:val="21"/>
        </w:rPr>
        <w:t>乙方必须充分考虑现场的安装难度及安全性，做好施工现场的安全防护、文明施工工作。安装过程中发生的一切责任及费用由乙方负责，如对其他物品或结构造成损坏必须照价赔偿，若甲方因此垫付费用或承担赔偿责任的，有权向乙方进行追偿并直接从合同款项中予以扣减。</w:t>
      </w:r>
    </w:p>
    <w:p>
      <w:pPr>
        <w:jc w:val="both"/>
      </w:pPr>
      <w:r>
        <w:rPr>
          <w:sz w:val="21"/>
        </w:rPr>
        <w:t>（四）验收由乙方、甲方依国家有关标准、计量校准、合同及有关附件要求进行。乙方须为验收提供必需的相关条件及一切费用。</w:t>
      </w:r>
    </w:p>
    <w:p>
      <w:pPr>
        <w:jc w:val="both"/>
      </w:pPr>
      <w:r>
        <w:rPr>
          <w:sz w:val="21"/>
        </w:rPr>
        <w:t>（五）技术资料：</w:t>
      </w:r>
    </w:p>
    <w:p>
      <w:pPr>
        <w:jc w:val="both"/>
      </w:pPr>
      <w:r>
        <w:rPr>
          <w:sz w:val="21"/>
        </w:rPr>
        <w:t>1.</w:t>
      </w:r>
      <w:r>
        <w:rPr>
          <w:sz w:val="21"/>
        </w:rPr>
        <w:t>交货时，乙方应同时交付产品中文使用手册、质量检验证书（合格证）及设备维护说明等相关资料。</w:t>
      </w:r>
    </w:p>
    <w:p>
      <w:pPr>
        <w:jc w:val="both"/>
      </w:pPr>
      <w:r>
        <w:rPr>
          <w:sz w:val="21"/>
        </w:rPr>
        <w:t>2.</w:t>
      </w:r>
      <w:r>
        <w:rPr>
          <w:sz w:val="21"/>
        </w:rPr>
        <w:t>验收后，乙方应向甲方提供验收报告。验收完毕由甲方及乙方在验收报告上签名确认。</w:t>
      </w:r>
    </w:p>
    <w:p>
      <w:pPr>
        <w:jc w:val="both"/>
      </w:pPr>
      <w:r>
        <w:rPr>
          <w:b/>
          <w:sz w:val="21"/>
        </w:rPr>
        <w:t>九、付款方式</w:t>
      </w:r>
    </w:p>
    <w:p>
      <w:pPr>
        <w:jc w:val="both"/>
      </w:pPr>
      <w:r>
        <w:rPr>
          <w:sz w:val="21"/>
        </w:rPr>
        <w:t>由甲方按下列方式付款：</w:t>
      </w:r>
    </w:p>
    <w:p>
      <w:pPr>
        <w:jc w:val="both"/>
      </w:pPr>
      <w:r>
        <w:rPr>
          <w:sz w:val="21"/>
        </w:rPr>
        <w:t>1</w:t>
      </w:r>
      <w:r>
        <w:rPr>
          <w:sz w:val="21"/>
        </w:rPr>
        <w:t>、合同签订生效之日起</w:t>
      </w:r>
      <w:r>
        <w:rPr>
          <w:sz w:val="21"/>
        </w:rPr>
        <w:t>5</w:t>
      </w:r>
      <w:r>
        <w:rPr>
          <w:sz w:val="21"/>
        </w:rPr>
        <w:t>个工作日内，甲方向乙方支付合同总价的</w:t>
      </w:r>
      <w:r>
        <w:rPr>
          <w:sz w:val="21"/>
          <w:u w:val="single"/>
        </w:rPr>
        <w:t xml:space="preserve">   </w:t>
      </w:r>
      <w:r>
        <w:rPr>
          <w:sz w:val="21"/>
        </w:rPr>
        <w:t>%</w:t>
      </w:r>
      <w:r>
        <w:rPr>
          <w:sz w:val="21"/>
        </w:rPr>
        <w:t>。</w:t>
      </w:r>
    </w:p>
    <w:p>
      <w:pPr>
        <w:jc w:val="both"/>
      </w:pPr>
      <w:r>
        <w:rPr>
          <w:sz w:val="21"/>
        </w:rPr>
        <w:t>2</w:t>
      </w:r>
      <w:r>
        <w:rPr>
          <w:sz w:val="21"/>
        </w:rPr>
        <w:t>、所有设备安装调试完毕并由甲方总体验收合格之日起</w:t>
      </w:r>
      <w:r>
        <w:rPr>
          <w:sz w:val="21"/>
        </w:rPr>
        <w:t>15</w:t>
      </w:r>
      <w:r>
        <w:rPr>
          <w:sz w:val="21"/>
        </w:rPr>
        <w:t>日内，甲方向乙方支付合同总价的</w:t>
      </w:r>
      <w:r>
        <w:rPr>
          <w:sz w:val="21"/>
          <w:u w:val="single"/>
        </w:rPr>
        <w:t xml:space="preserve">   </w:t>
      </w:r>
      <w:r>
        <w:rPr>
          <w:sz w:val="21"/>
        </w:rPr>
        <w:t>%</w:t>
      </w:r>
      <w:r>
        <w:rPr>
          <w:sz w:val="21"/>
        </w:rPr>
        <w:t>。</w:t>
      </w:r>
    </w:p>
    <w:p>
      <w:pPr>
        <w:jc w:val="both"/>
      </w:pPr>
      <w:r>
        <w:rPr>
          <w:sz w:val="21"/>
        </w:rPr>
        <w:t>3</w:t>
      </w:r>
      <w:r>
        <w:rPr>
          <w:sz w:val="21"/>
        </w:rPr>
        <w:t>、每期付款由乙方提出申请，总体验收合格时提供该合同相应总金额的增值税专用发票，方可办理支付手续；收款方、出具发票方、合同中标人均必须与乙方名称一致。否则甲方有权顺延付款，乙方不得以此为由暂停实施本项目或要求顺延货物交付时间。</w:t>
      </w:r>
    </w:p>
    <w:p>
      <w:pPr>
        <w:jc w:val="both"/>
      </w:pPr>
      <w:r>
        <w:rPr>
          <w:b/>
          <w:color w:val="000000"/>
          <w:sz w:val="21"/>
        </w:rPr>
        <w:t>十、知识产权和保密要求</w:t>
      </w:r>
    </w:p>
    <w:p>
      <w:pPr>
        <w:jc w:val="both"/>
      </w:pPr>
      <w:r>
        <w:rPr>
          <w:sz w:val="21"/>
        </w:rPr>
        <w:t>1.</w:t>
      </w:r>
      <w:r>
        <w:rPr>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jc w:val="both"/>
      </w:pPr>
      <w:r>
        <w:rPr>
          <w:sz w:val="21"/>
        </w:rPr>
        <w:t>2.</w:t>
      </w:r>
      <w:r>
        <w:rPr>
          <w:sz w:val="21"/>
        </w:rPr>
        <w:t>如果甲方在使用乙方货物或货物的任何一部分过程中，因侵犯第三方合法权益</w:t>
      </w:r>
      <w:r>
        <w:rPr>
          <w:sz w:val="21"/>
        </w:rPr>
        <w:t>（</w:t>
      </w:r>
      <w:r>
        <w:rPr>
          <w:sz w:val="21"/>
        </w:rPr>
        <w:t>包括但不限于知识产权</w:t>
      </w:r>
      <w:r>
        <w:rPr>
          <w:sz w:val="21"/>
        </w:rPr>
        <w:t>）</w:t>
      </w:r>
      <w:r>
        <w:rPr>
          <w:sz w:val="21"/>
        </w:rPr>
        <w:t>而</w:t>
      </w:r>
      <w:r>
        <w:rPr>
          <w:sz w:val="21"/>
        </w:rPr>
        <w:t>遭致</w:t>
      </w:r>
      <w:r>
        <w:rPr>
          <w:sz w:val="21"/>
        </w:rPr>
        <w:t>第三方索赔或主张权利的，乙方将自费为甲方应诉，并支付法院最终判</w:t>
      </w:r>
      <w:r>
        <w:rPr>
          <w:sz w:val="21"/>
        </w:rPr>
        <w:t>决</w:t>
      </w:r>
      <w:r>
        <w:rPr>
          <w:sz w:val="21"/>
        </w:rPr>
        <w:t>的甲方应支付给第三方的一切费用</w:t>
      </w:r>
      <w:r>
        <w:rPr>
          <w:sz w:val="21"/>
        </w:rPr>
        <w:t>，</w:t>
      </w:r>
      <w:r>
        <w:rPr>
          <w:sz w:val="21"/>
        </w:rPr>
        <w:t>且赔偿甲方由此遭受的全部损失及支出的合理费用</w:t>
      </w:r>
      <w:r>
        <w:rPr>
          <w:sz w:val="21"/>
        </w:rPr>
        <w:t>。</w:t>
      </w:r>
    </w:p>
    <w:p>
      <w:pPr>
        <w:jc w:val="both"/>
      </w:pPr>
      <w:r>
        <w:rPr>
          <w:sz w:val="21"/>
        </w:rPr>
        <w:t>3</w:t>
      </w:r>
      <w:r>
        <w:rPr>
          <w:sz w:val="21"/>
        </w:rPr>
        <w:t>.</w:t>
      </w:r>
      <w:r>
        <w:rPr>
          <w:sz w:val="21"/>
        </w:rPr>
        <w:t>项目实施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jc w:val="both"/>
      </w:pPr>
      <w:r>
        <w:rPr>
          <w:sz w:val="21"/>
        </w:rPr>
        <w:t>1</w:t>
      </w:r>
      <w:r>
        <w:rPr>
          <w:sz w:val="21"/>
        </w:rPr>
        <w:t>）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jc w:val="both"/>
      </w:pPr>
      <w:r>
        <w:rPr>
          <w:sz w:val="21"/>
        </w:rPr>
        <w:t>2</w:t>
      </w:r>
      <w:r>
        <w:rPr>
          <w:sz w:val="21"/>
        </w:rPr>
        <w:t>）除了合同本身之外，上款所列举的任何物件均是甲方的财产。如果甲方有要求，乙方在完成合同后应将这些物件及全部复制件还给甲方。</w:t>
      </w:r>
    </w:p>
    <w:p>
      <w:pPr>
        <w:jc w:val="both"/>
      </w:pPr>
      <w:r>
        <w:rPr>
          <w:b/>
          <w:sz w:val="21"/>
        </w:rPr>
        <w:t>十一、违约责任与赔偿损失</w:t>
      </w:r>
    </w:p>
    <w:p>
      <w:pPr>
        <w:jc w:val="both"/>
      </w:pPr>
      <w:r>
        <w:rPr>
          <w:sz w:val="21"/>
        </w:rPr>
        <w:t>（一）乙方交付的货物、工程</w:t>
      </w:r>
      <w:r>
        <w:rPr>
          <w:sz w:val="21"/>
        </w:rPr>
        <w:t>/</w:t>
      </w:r>
      <w:r>
        <w:rPr>
          <w:sz w:val="21"/>
        </w:rPr>
        <w:t>提供的服务不符合招标文件、投标文件或本合同规定的，甲方有权拒收，并且乙方须向甲方退还预付款，且赔付中标金额的百分之三十的违约金。</w:t>
      </w:r>
    </w:p>
    <w:p>
      <w:pPr>
        <w:jc w:val="both"/>
      </w:pPr>
      <w:r>
        <w:rPr>
          <w:sz w:val="21"/>
        </w:rPr>
        <w:t>（二）乙方未能按本合同规定的交货时间交付货物的</w:t>
      </w:r>
      <w:r>
        <w:rPr>
          <w:sz w:val="21"/>
        </w:rPr>
        <w:t>/</w:t>
      </w:r>
      <w:r>
        <w:rPr>
          <w:sz w:val="21"/>
        </w:rPr>
        <w:t>提供服务，从逾期之日起每日按本合同总价千分之五的数额向甲方支付违约金；逾期</w:t>
      </w:r>
      <w:r>
        <w:rPr>
          <w:sz w:val="21"/>
        </w:rPr>
        <w:t>15</w:t>
      </w:r>
      <w:r>
        <w:rPr>
          <w:sz w:val="21"/>
        </w:rPr>
        <w:t>天以上（含</w:t>
      </w:r>
      <w:r>
        <w:rPr>
          <w:sz w:val="21"/>
        </w:rPr>
        <w:t>15</w:t>
      </w:r>
      <w:r>
        <w:rPr>
          <w:sz w:val="21"/>
        </w:rPr>
        <w:t>天）的，甲方有权终止合同，要求乙方支付违约金，并且给甲方造成的经济损失由乙方承担赔偿责任。</w:t>
      </w:r>
    </w:p>
    <w:p>
      <w:pPr>
        <w:jc w:val="both"/>
      </w:pPr>
      <w:r>
        <w:rPr>
          <w:sz w:val="21"/>
        </w:rPr>
        <w:t>（三）甲方无正当理由拒收货物</w:t>
      </w:r>
      <w:r>
        <w:rPr>
          <w:sz w:val="21"/>
        </w:rPr>
        <w:t>/</w:t>
      </w:r>
      <w:r>
        <w:rPr>
          <w:sz w:val="21"/>
        </w:rPr>
        <w:t>接受服务，到期拒付货物</w:t>
      </w:r>
      <w:r>
        <w:rPr>
          <w:sz w:val="21"/>
        </w:rPr>
        <w:t>/</w:t>
      </w:r>
      <w:r>
        <w:rPr>
          <w:sz w:val="21"/>
        </w:rPr>
        <w:t>服务款项的，甲方向乙方偿付本合同总价的百分之五的违约金。甲方逾期付款</w:t>
      </w:r>
      <w:r>
        <w:rPr>
          <w:sz w:val="21"/>
        </w:rPr>
        <w:t>,</w:t>
      </w:r>
      <w:r>
        <w:rPr>
          <w:sz w:val="21"/>
        </w:rPr>
        <w:t>则每日按合同总金额千分之五向乙方偿付违约金。但由于财政拨款不到位或该项目相关手续和程序因流转政府采购审批流程及办理手续而造成项目支付进度有所推延的而导致甲方逾期付款的，甲方不承担违约责任，并且此情况不能成为乙方延期交货及服务的理由。</w:t>
      </w:r>
    </w:p>
    <w:p>
      <w:pPr>
        <w:jc w:val="both"/>
      </w:pPr>
      <w:r>
        <w:rPr>
          <w:sz w:val="21"/>
        </w:rPr>
        <w:t>（四）其它违约责任按《中华人民共和国民法典</w:t>
      </w:r>
      <w:r>
        <w:rPr>
          <w:sz w:val="21"/>
        </w:rPr>
        <w:t>(</w:t>
      </w:r>
      <w:r>
        <w:rPr>
          <w:sz w:val="21"/>
        </w:rPr>
        <w:t>合同编</w:t>
      </w:r>
      <w:r>
        <w:rPr>
          <w:sz w:val="21"/>
        </w:rPr>
        <w:t>)</w:t>
      </w:r>
      <w:r>
        <w:rPr>
          <w:sz w:val="21"/>
        </w:rPr>
        <w:t>》处理。</w:t>
      </w:r>
    </w:p>
    <w:p>
      <w:pPr>
        <w:jc w:val="both"/>
      </w:pPr>
      <w:r>
        <w:rPr>
          <w:b/>
          <w:sz w:val="21"/>
        </w:rPr>
        <w:t>十二、争议的解决</w:t>
      </w:r>
    </w:p>
    <w:p>
      <w:pPr>
        <w:ind w:firstLine="539"/>
        <w:jc w:val="both"/>
      </w:pPr>
      <w:r>
        <w:rPr>
          <w:sz w:val="21"/>
        </w:rPr>
        <w:t>合同执行过程中发生的任何争议，如双方不能通过友好协商解决，按相关法律法规处理。甲、乙双方一致同意向甲方所在地人民法院提起诉讼。</w:t>
      </w:r>
    </w:p>
    <w:p>
      <w:pPr>
        <w:jc w:val="both"/>
      </w:pPr>
      <w:r>
        <w:rPr>
          <w:b/>
          <w:sz w:val="21"/>
        </w:rPr>
        <w:t>十三、不可抗力</w:t>
      </w:r>
    </w:p>
    <w:p>
      <w:pPr>
        <w:ind w:firstLine="420"/>
        <w:jc w:val="both"/>
      </w:pPr>
      <w:r>
        <w:rPr>
          <w:sz w:val="21"/>
        </w:rPr>
        <w:t>任何一方由于不可抗力原因不能履行合同时，应在不可抗力事件结束后</w:t>
      </w:r>
      <w:r>
        <w:rPr>
          <w:sz w:val="21"/>
        </w:rPr>
        <w:t>1</w:t>
      </w:r>
      <w:r>
        <w:rPr>
          <w:sz w:val="21"/>
        </w:rPr>
        <w:t>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十四、税费</w:t>
      </w:r>
    </w:p>
    <w:p>
      <w:pPr>
        <w:ind w:firstLine="420"/>
        <w:jc w:val="both"/>
      </w:pPr>
      <w:r>
        <w:rPr>
          <w:sz w:val="21"/>
        </w:rPr>
        <w:t>在中国境内、外发生的与本合同执行有关的一切税费均由乙方负担。</w:t>
      </w:r>
    </w:p>
    <w:p>
      <w:pPr>
        <w:jc w:val="both"/>
      </w:pPr>
      <w:r>
        <w:rPr>
          <w:b/>
          <w:sz w:val="21"/>
        </w:rPr>
        <w:t>十五、其它</w:t>
      </w:r>
    </w:p>
    <w:p>
      <w:pPr>
        <w:jc w:val="both"/>
      </w:pPr>
      <w:r>
        <w:rPr>
          <w:sz w:val="21"/>
        </w:rPr>
        <w:t>（一）本合同所有附件、招标文件、投标文件、中标通知书均为合同的有效组成部分，与本合同具有同等法律效力。</w:t>
      </w:r>
    </w:p>
    <w:p>
      <w:pPr>
        <w:jc w:val="both"/>
      </w:pPr>
      <w:r>
        <w:rPr>
          <w:sz w:val="21"/>
        </w:rPr>
        <w:t>（二）在执行本合同的过程中，所有经双方签署确认的文件（包括会议纪要、补充协议、往来信函）即成为本合同的有效组成部分。</w:t>
      </w:r>
    </w:p>
    <w:p>
      <w:pPr>
        <w:jc w:val="both"/>
      </w:pPr>
      <w:r>
        <w:rPr>
          <w:sz w:val="21"/>
        </w:rPr>
        <w:t>（三）如一方地址、电话、传真号码有变更，应在变更当日内书面通知对方，否则，应承担相应责任。</w:t>
      </w:r>
    </w:p>
    <w:p>
      <w:pPr>
        <w:jc w:val="both"/>
      </w:pPr>
      <w:r>
        <w:rPr>
          <w:sz w:val="21"/>
        </w:rPr>
        <w:t>（四）除甲方事先书面同意外，乙方不得部分或全部转让其应履行的合同项下的义务。</w:t>
      </w:r>
    </w:p>
    <w:p>
      <w:pPr>
        <w:jc w:val="both"/>
      </w:pPr>
      <w:r>
        <w:rPr>
          <w:b/>
          <w:sz w:val="21"/>
        </w:rPr>
        <w:t>十六、合同生效</w:t>
      </w:r>
    </w:p>
    <w:p>
      <w:pPr>
        <w:jc w:val="both"/>
      </w:pPr>
      <w:r>
        <w:rPr>
          <w:sz w:val="21"/>
        </w:rPr>
        <w:t>（一）所有经双方或多方签署确认的文件（包括会议纪要、补充协议、往来信函）、招标文件和乙方投标文件、合同的附件及《中标通知书》均为本合同不可分割的有效组成部分，与本合同具有同等的法律效力和履约义务，其生效日期为签字盖章确认之日期。</w:t>
      </w:r>
    </w:p>
    <w:p>
      <w:pPr>
        <w:jc w:val="both"/>
      </w:pPr>
      <w:r>
        <w:rPr>
          <w:sz w:val="21"/>
        </w:rPr>
        <w:t>（二）一方按照对方有效送达地址向对方邮寄送达相关文书的视为履行书面通知及交付义务，以邮政部门出具的签收回执作为送达成功依据、签收日作为送达成功日；对方不得以签收人不是本人或不具有签收授权为由进行抗辩；若发生拒收或其他不能送达的情况，应立即书面通知对方；在收到对方发送的变更通知前，以上信息仍有效，对各方具有约束力书自邮寄之日起第三日视为送达成功。双方承诺，任何一方上述信息发生变更的均应当及时书面通知对方。</w:t>
      </w:r>
    </w:p>
    <w:p>
      <w:pPr>
        <w:jc w:val="both"/>
      </w:pPr>
      <w:r>
        <w:rPr>
          <w:sz w:val="21"/>
        </w:rPr>
        <w:t>（三）未经甲方书面同意，乙方不得擅自向第三方转让其应履行的合同项下的义务。</w:t>
      </w:r>
    </w:p>
    <w:p>
      <w:pPr>
        <w:jc w:val="both"/>
      </w:pPr>
      <w:r>
        <w:rPr>
          <w:sz w:val="21"/>
        </w:rPr>
        <w:t>（四）本合同一式伍份，甲方执贰份，乙方执贰份，采购代理机构执壹份。</w:t>
      </w:r>
    </w:p>
    <w:p>
      <w:pPr>
        <w:jc w:val="both"/>
      </w:pPr>
      <w:r>
        <w:rPr>
          <w:sz w:val="21"/>
        </w:rPr>
        <w:t>（五）本合同共计</w:t>
      </w:r>
      <w:r>
        <w:rPr>
          <w:sz w:val="21"/>
          <w:u w:val="single"/>
        </w:rPr>
        <w:t xml:space="preserve">   </w:t>
      </w:r>
      <w:r>
        <w:rPr>
          <w:sz w:val="21"/>
        </w:rPr>
        <w:t>页</w:t>
      </w:r>
      <w:r>
        <w:rPr>
          <w:sz w:val="21"/>
        </w:rPr>
        <w:t>A4</w:t>
      </w:r>
      <w:r>
        <w:rPr>
          <w:sz w:val="21"/>
        </w:rPr>
        <w:t>纸张，缺页之合同为无效合同。</w:t>
      </w:r>
    </w:p>
    <w:p>
      <w:pPr>
        <w:jc w:val="both"/>
      </w:pPr>
      <w:r>
        <w:rPr>
          <w:sz w:val="21"/>
        </w:rPr>
        <w:t>（六）本合同签约履约地点：广东省佛山市。</w:t>
      </w:r>
    </w:p>
    <w:p>
      <w:pPr>
        <w:jc w:val="both"/>
      </w:pP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vAlign w:val="top"/>
          </w:tcPr>
          <w:p>
            <w:pPr>
              <w:jc w:val="both"/>
            </w:pPr>
            <w:r>
              <w:rPr>
                <w:sz w:val="21"/>
              </w:rPr>
              <w:t>甲方（盖章）：佛山市质量计量监督检测中心</w:t>
            </w:r>
          </w:p>
          <w:p>
            <w:pPr>
              <w:jc w:val="both"/>
            </w:pPr>
            <w:r>
              <w:rPr>
                <w:sz w:val="21"/>
              </w:rPr>
              <w:t>单位代表：</w:t>
            </w:r>
          </w:p>
          <w:p>
            <w:pPr>
              <w:jc w:val="both"/>
            </w:pPr>
            <w:r>
              <w:rPr>
                <w:sz w:val="21"/>
              </w:rPr>
              <w:t>经办人</w:t>
            </w:r>
            <w:r>
              <w:rPr>
                <w:sz w:val="24"/>
              </w:rPr>
              <w:t>：</w:t>
            </w:r>
          </w:p>
          <w:p>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4153"/>
            <w:tcBorders>
              <w:top w:val="none" w:color="000000" w:sz="4"/>
              <w:left w:val="none" w:color="000000" w:sz="4"/>
              <w:bottom w:val="none" w:color="000000" w:sz="4"/>
              <w:right w:val="none" w:color="000000" w:sz="4"/>
            </w:tcBorders>
            <w:vAlign w:val="top"/>
          </w:tcPr>
          <w:p>
            <w:pPr>
              <w:jc w:val="both"/>
            </w:pPr>
            <w:r>
              <w:rPr>
                <w:sz w:val="21"/>
              </w:rPr>
              <w:t>乙方（盖章）：</w:t>
            </w:r>
          </w:p>
          <w:p>
            <w:pPr>
              <w:jc w:val="both"/>
            </w:pPr>
            <w:r>
              <w:rPr>
                <w:sz w:val="21"/>
              </w:rPr>
              <w:t>单位代表：</w:t>
            </w:r>
          </w:p>
          <w:p>
            <w:pPr>
              <w:ind w:firstLine="420"/>
              <w:jc w:val="both"/>
            </w:pPr>
          </w:p>
          <w:p>
            <w:pPr>
              <w:jc w:val="both"/>
            </w:pPr>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p>
          <w:p>
            <w:pPr>
              <w:ind w:firstLine="420"/>
              <w:jc w:val="both"/>
            </w:pPr>
          </w:p>
          <w:p>
            <w:pPr>
              <w:jc w:val="both"/>
            </w:pPr>
            <w:r>
              <w:rPr>
                <w:sz w:val="21"/>
              </w:rPr>
              <w:t>开户名称：</w:t>
            </w:r>
          </w:p>
          <w:p>
            <w:pPr>
              <w:jc w:val="both"/>
            </w:pPr>
            <w:r>
              <w:rPr>
                <w:sz w:val="21"/>
              </w:rPr>
              <w:t>银行账号：</w:t>
            </w:r>
          </w:p>
          <w:p>
            <w:pPr>
              <w:jc w:val="both"/>
            </w:pPr>
            <w:r>
              <w:rPr>
                <w:sz w:val="21"/>
              </w:rPr>
              <w:t>开户行：</w:t>
            </w:r>
            <w:r>
              <w:rPr>
                <w:sz w:val="21"/>
              </w:rPr>
              <w:t xml:space="preserve">          </w:t>
            </w:r>
            <w:r>
              <w:rPr>
                <w:sz w:val="21"/>
              </w:rPr>
              <w:t>支行</w:t>
            </w:r>
          </w:p>
          <w:p/>
        </w:tc>
      </w:tr>
      <w:tr>
        <w:tc>
          <w:tcPr>
            <w:tcW w:type="dxa" w:w="4153"/>
            <w:tcBorders>
              <w:top w:val="none" w:color="000000" w:sz="4"/>
              <w:left w:val="none" w:color="000000" w:sz="4"/>
              <w:bottom w:val="none" w:color="000000" w:sz="4"/>
              <w:right w:val="none" w:color="000000" w:sz="4"/>
            </w:tcBorders>
            <w:vAlign w:val="top"/>
          </w:tcPr>
          <w:p>
            <w:pPr>
              <w:jc w:val="left"/>
            </w:pPr>
            <w:r>
              <w:rPr>
                <w:sz w:val="21"/>
              </w:rPr>
              <w:t>见证单位（盖章）：佛山市信悦咨询有限公司</w:t>
            </w:r>
          </w:p>
          <w:p>
            <w:pPr>
              <w:jc w:val="left"/>
            </w:pPr>
            <w:r>
              <w:rPr>
                <w:sz w:val="21"/>
              </w:rPr>
              <w:t>经确认，与招标文件及投标文件内容相符。</w:t>
            </w:r>
          </w:p>
          <w:p>
            <w:pPr>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p/>
        </w:tc>
        <w:tc>
          <w:tcPr>
            <w:tcW w:type="dxa" w:w="4153"/>
            <w:tcBorders>
              <w:top w:val="none" w:color="000000" w:sz="4"/>
              <w:left w:val="none" w:color="000000" w:sz="4"/>
              <w:bottom w:val="none" w:color="000000" w:sz="4"/>
              <w:right w:val="none" w:color="000000" w:sz="4"/>
            </w:tcBorders>
            <w:vAlign w:val="top"/>
          </w:tcPr>
          <w:p/>
        </w:tc>
      </w:tr>
    </w:tbl>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440001-2023-21564</w:t>
      </w:r>
    </w:p>
    <w:p>
      <w:pPr>
        <w:jc w:val="center"/>
      </w:pPr>
      <w:r>
        <w:rPr>
          <w:b/>
          <w:sz w:val="24"/>
        </w:rPr>
        <w:t>采购项目编号：</w:t>
      </w:r>
      <w:r>
        <w:rPr>
          <w:b/>
          <w:sz w:val="24"/>
        </w:rPr>
        <w:t>XY0123013</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佛山市信悦咨询有限公司</w:t>
      </w:r>
    </w:p>
    <w:p>
      <w:pPr>
        <w:ind w:firstLine="480"/>
      </w:pPr>
      <w:r>
        <w:rPr/>
        <w:t>你方组织的</w:t>
      </w:r>
      <w:r>
        <w:rPr>
          <w:u w:val="single"/>
        </w:rPr>
        <w:t>“</w:t>
      </w:r>
      <w:r>
        <w:rPr>
          <w:u w:val="single"/>
        </w:rPr>
        <w:t>佛山市质量计量监督检测中心2023年度质量检测能力提升设备采购项目（二）(三次)</w:t>
      </w:r>
      <w:r>
        <w:rPr>
          <w:u w:val="single"/>
        </w:rPr>
        <w:t>”</w:t>
      </w:r>
      <w:r>
        <w:rPr/>
        <w:t>项目的招标[采购项目编号为：</w:t>
      </w:r>
      <w:r>
        <w:rPr>
          <w:u w:val="single"/>
        </w:rPr>
        <w:t>XY0123013</w:t>
      </w:r>
      <w:r>
        <w:rPr/>
        <w:t>]，我方愿参与投标。</w:t>
      </w:r>
    </w:p>
    <w:p>
      <w:pPr>
        <w:ind w:firstLine="480"/>
      </w:pPr>
      <w:r>
        <w:rPr/>
        <w:t>我方确认收到贵方提供的</w:t>
      </w:r>
      <w:r>
        <w:rPr>
          <w:u w:val="single"/>
        </w:rPr>
        <w:t>“</w:t>
      </w:r>
      <w:r>
        <w:rPr>
          <w:u w:val="single"/>
        </w:rPr>
        <w:t>佛山市质量计量监督检测中心2023年度质量检测能力提升设备采购项目（二）(三次)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佛山市信悦咨询有限公司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佛山市质量计量监督检测中心2023年度质量检测能力提升设备采购项目（二）(三次)</w:t>
      </w:r>
      <w:r>
        <w:rPr/>
        <w:t>”项目采购[采购项目编号为</w:t>
      </w:r>
      <w:r>
        <w:rPr/>
        <w:t>XY0123013</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佛山市质量计量监督检测中心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佛山市信悦咨询有限公司</w:t>
      </w:r>
    </w:p>
    <w:p>
      <w:pPr>
        <w:ind w:firstLine="480"/>
      </w:pPr>
      <w:r>
        <w:rPr/>
        <w:t>如果我方在贵采购代理机构组织的</w:t>
      </w:r>
      <w:r>
        <w:rPr/>
        <w:t>佛山市质量计量监督检测中心2023年度质量检测能力提升设备采购项目（二）(三次)</w:t>
      </w:r>
      <w:r>
        <w:rPr/>
        <w:t>招标中获中标（采购项目编号：</w:t>
      </w:r>
      <w:r>
        <w:rPr/>
        <w:t>XY0123013</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佛山市信悦咨询有限公司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佛山市信悦咨询有限公司</w:t>
      </w:r>
    </w:p>
    <w:p>
      <w:pPr>
        <w:ind w:firstLine="480"/>
      </w:pPr>
      <w:r>
        <w:rPr/>
        <w:t>我单位已登记并准备参与“</w:t>
      </w:r>
      <w:r>
        <w:rPr/>
        <w:t>佛山市质量计量监督检测中心2023年度质量检测能力提升设备采购项目（二）(三次)</w:t>
      </w:r>
      <w:r>
        <w:rPr/>
        <w:t>”项目（采购项目编号：</w:t>
      </w:r>
      <w:r>
        <w:rPr/>
        <w:t>XY0123013</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