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竞争性谈判文件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440604-2023-02548</w:t>
      </w:r>
    </w:p>
    <w:p>
      <w:pPr>
        <w:jc w:val="center"/>
      </w:pPr>
      <w:r>
        <w:rPr>
          <w:b/>
          <w:sz w:val="24"/>
        </w:rPr>
        <w:t>采购项目编号：</w:t>
      </w:r>
      <w:r>
        <w:rPr>
          <w:b/>
          <w:sz w:val="24"/>
        </w:rPr>
        <w:t>XY0123051J</w:t>
      </w:r>
    </w:p>
    <w:p>
      <w:pPr>
        <w:jc w:val="center"/>
      </w:pPr>
      <w:r>
        <w:rPr>
          <w:b/>
          <w:sz w:val="24"/>
        </w:rPr>
        <w:t>项目名称：</w:t>
      </w:r>
      <w:r>
        <w:rPr>
          <w:b/>
          <w:sz w:val="24"/>
        </w:rPr>
        <w:t>禅城区肢体残疾人居家康复服务采购(三次)</w:t>
      </w:r>
    </w:p>
    <w:p>
      <w:pPr>
        <w:jc w:val="center"/>
      </w:pPr>
      <w:r>
        <w:rPr>
          <w:b/>
          <w:sz w:val="24"/>
        </w:rPr>
        <w:t>采购人：</w:t>
      </w:r>
      <w:r>
        <w:rPr>
          <w:b/>
          <w:sz w:val="24"/>
        </w:rPr>
        <w:t>佛山市禅城区民政局</w:t>
      </w:r>
    </w:p>
    <w:p>
      <w:pPr>
        <w:jc w:val="center"/>
      </w:pPr>
      <w:r>
        <w:rPr>
          <w:b/>
          <w:sz w:val="24"/>
        </w:rPr>
        <w:t>采购代理机构：</w:t>
      </w:r>
      <w:r>
        <w:rPr>
          <w:b/>
          <w:sz w:val="24"/>
        </w:rPr>
        <w:t>佛山市信悦咨询有限公司</w:t>
      </w:r>
    </w:p>
    <w:p>
      <w:pPr>
        <w:ind w:firstLine="480"/>
      </w:pPr>
    </w:p>
    <w:p>
      <w:r>
        <w:rPr/>
        <w:t xml:space="preserve"> </w:t>
      </w:r>
    </w:p>
    <w:p/>
    <w:p>
      <w:r>
        <w:rPr>
          <w:b/>
          <w:sz w:val="36"/>
        </w:rPr>
        <w:t>第一章 谈判邀请</w:t>
      </w:r>
    </w:p>
    <w:p>
      <w:pPr>
        <w:ind w:firstLine="480"/>
      </w:pPr>
      <w:r>
        <w:rPr/>
        <w:t>佛山市信悦咨询有限公司</w:t>
      </w:r>
      <w:r>
        <w:rPr/>
        <w:t>受</w:t>
      </w:r>
      <w:r>
        <w:rPr/>
        <w:t>佛山市禅城区民政局</w:t>
      </w:r>
      <w:r>
        <w:rPr/>
        <w:t>的委托，采用</w:t>
      </w:r>
      <w:r>
        <w:rPr/>
        <w:t>竞争性谈判</w:t>
      </w:r>
      <w:r>
        <w:rPr/>
        <w:t>方式组织采购</w:t>
      </w:r>
      <w:r>
        <w:rPr/>
        <w:t>禅城区肢体残疾人居家康复服务采购(三次)</w:t>
      </w:r>
      <w:r>
        <w:rPr/>
        <w:t>。欢迎符合资格条件的供应商参加。</w:t>
      </w:r>
    </w:p>
    <w:p>
      <w:r>
        <w:rPr>
          <w:b/>
          <w:sz w:val="28"/>
        </w:rPr>
        <w:t>一.项目概述</w:t>
      </w:r>
    </w:p>
    <w:p>
      <w:r>
        <w:rPr>
          <w:b/>
          <w:sz w:val="24"/>
        </w:rPr>
        <w:t>1.名称与编号</w:t>
      </w:r>
    </w:p>
    <w:p>
      <w:pPr>
        <w:ind w:firstLine="480"/>
      </w:pPr>
      <w:r>
        <w:rPr/>
        <w:t>项目名称：</w:t>
      </w:r>
      <w:r>
        <w:rPr/>
        <w:t>禅城区肢体残疾人居家康复服务采购(三次)</w:t>
      </w:r>
    </w:p>
    <w:p>
      <w:pPr>
        <w:ind w:firstLine="480"/>
      </w:pPr>
      <w:r>
        <w:rPr/>
        <w:t>采购计划编号：</w:t>
      </w:r>
      <w:r>
        <w:rPr/>
        <w:t>440604-2023-02548</w:t>
      </w:r>
    </w:p>
    <w:p>
      <w:pPr>
        <w:ind w:firstLine="480"/>
      </w:pPr>
      <w:r>
        <w:rPr/>
        <w:t>采购项目编号：</w:t>
      </w:r>
      <w:r>
        <w:rPr/>
        <w:t>XY0123051J</w:t>
      </w:r>
    </w:p>
    <w:p>
      <w:pPr>
        <w:ind w:firstLine="480"/>
      </w:pPr>
      <w:r>
        <w:rPr/>
        <w:t>采购方式：</w:t>
      </w:r>
      <w:r>
        <w:rPr/>
        <w:t>竞争性谈判</w:t>
      </w:r>
    </w:p>
    <w:p>
      <w:pPr>
        <w:ind w:firstLine="480"/>
      </w:pPr>
      <w:r>
        <w:rPr/>
        <w:t>预算金额：</w:t>
      </w:r>
      <w:r>
        <w:rPr/>
        <w:t>7,214,400.00</w:t>
      </w:r>
      <w:r>
        <w:rPr/>
        <w:t>元</w:t>
      </w:r>
    </w:p>
    <w:p>
      <w:r>
        <w:rPr>
          <w:b/>
          <w:sz w:val="24"/>
        </w:rPr>
        <w:t>2.项目内容及需求情况（采购项目技术规格、参数及要求）</w:t>
      </w:r>
    </w:p>
    <w:p>
      <w:pPr>
        <w:ind w:firstLine="480"/>
      </w:pPr>
    </w:p>
    <w:p/>
    <w:p>
      <w:r>
        <w:rPr/>
        <w:t>采购包1(禅城区肢体残疾人居家康复服务采购):</w:t>
      </w:r>
    </w:p>
    <w:p>
      <w:r>
        <w:rPr/>
        <w:t>采购包预算金额：7,214,400.00元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康复服务</w:t>
            </w:r>
          </w:p>
        </w:tc>
        <w:tc>
          <w:tcPr>
            <w:tcW w:type="dxa" w:w="2052"/>
          </w:tcPr>
          <w:p>
            <w:r>
              <w:rPr/>
              <w:t>禅城区肢体残疾人居家康复服务采购</w:t>
            </w:r>
          </w:p>
        </w:tc>
        <w:tc>
          <w:tcPr>
            <w:tcW w:type="dxa" w:w="977"/>
          </w:tcPr>
          <w:p>
            <w:r>
              <w:rPr/>
              <w:t>1.00(项)</w:t>
            </w:r>
          </w:p>
        </w:tc>
        <w:tc>
          <w:tcPr>
            <w:tcW w:type="dxa" w:w="977"/>
          </w:tcPr>
          <w:p>
            <w:r>
              <w:rPr/>
              <w:t>详见第二章</w:t>
            </w:r>
          </w:p>
        </w:tc>
        <w:tc>
          <w:tcPr>
            <w:tcW w:type="dxa" w:w="977"/>
          </w:tcPr>
          <w:p>
            <w:r>
              <w:rPr/>
              <w:t>7,214,400.00</w:t>
            </w:r>
          </w:p>
        </w:tc>
        <w:tc>
          <w:tcPr>
            <w:tcW w:type="dxa" w:w="977"/>
          </w:tcPr>
          <w:p>
            <w:r>
              <w:rPr/>
              <w:t>否</w:t>
            </w:r>
          </w:p>
        </w:tc>
      </w:tr>
    </w:tbl>
    <w:p/>
    <w:p>
      <w:r>
        <w:rPr/>
        <w:t>本采购包不接受联合体响应</w:t>
      </w:r>
    </w:p>
    <w:p/>
    <w:p>
      <w:r>
        <w:rPr/>
        <w:t>合同履行期限：服务期自合同签订之日起至2026年8月31日。合同一年一签，第一年（自合同签订之日起至2024年8月31日）合同履行完毕后，采购人根据资金落实情况与对成交供应商考核情况决定是否续签下一年合同。注：因本项目第一次、第二次政府采购失败，导致第一年合同服务期不足12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响应文件递交截止日前6个月内（含截止日当月）任意1个月缴纳税收和社会保险的凭据证明材料扫描件，或依法免税（或不需要缴纳社会保障资金）的相应证明材料，或提供《政府采购供应商资格信用承诺函》（按照竞争性谈判公告附件1格式进行承诺）。</w:t>
      </w:r>
    </w:p>
    <w:p/>
    <w:p>
      <w:r>
        <w:rPr/>
        <w:t>3）具有良好的商业信誉和健全的财务会计制度：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谈判公告附件1格式进行承诺）。</w:t>
      </w:r>
    </w:p>
    <w:p/>
    <w:p>
      <w:r>
        <w:rPr/>
        <w:t>4）履行合同所必需的设备和专业技术能力：提供履行合同所必须的设备及专业技术情况表或相关承诺（自拟格式）。</w:t>
      </w:r>
    </w:p>
    <w:p/>
    <w:p>
      <w:r>
        <w:rPr/>
        <w:t>5）参加采购活动前3年内，在经营活动中没有重大违法记录：提供《响应承诺函》（按照竞争性谈判文件第六章《响应文件格式与要求》进行承诺），或提供《政府采购供应商资格信用承诺函》（按照竞争性谈判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采购包1（禅城区肢体残疾人居家康复服务采购）：</w:t>
      </w:r>
      <w:r>
        <w:rPr/>
        <w:t>本项目不属于专门面向中小企业采购的项目。</w:t>
      </w:r>
    </w:p>
    <w:p/>
    <w:p>
      <w:r>
        <w:rPr>
          <w:b/>
          <w:sz w:val="24"/>
        </w:rPr>
        <w:t>3.本项目特定的资格要求：</w:t>
      </w:r>
    </w:p>
    <w:p>
      <w:pPr>
        <w:ind w:firstLine="480"/>
      </w:pPr>
    </w:p>
    <w:p/>
    <w:p>
      <w:r>
        <w:rPr/>
        <w:t>采购包1（禅城区肢体残疾人居家康复服务采购）：</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3)供应商须具有有效期内的《医疗机构执业许可证》（提供证书扫描件）。</w:t>
      </w:r>
    </w:p>
    <w:p/>
    <w:p>
      <w:r>
        <w:rPr>
          <w:b/>
          <w:sz w:val="28"/>
        </w:rPr>
        <w:t>三.获取谈判文件</w:t>
      </w:r>
    </w:p>
    <w:p>
      <w:pPr>
        <w:ind w:firstLine="480"/>
      </w:pPr>
      <w:r>
        <w:rPr/>
        <w:t>时间：详见谈判公告及其变更公告（如有）</w:t>
      </w:r>
    </w:p>
    <w:p>
      <w:pPr>
        <w:ind w:firstLine="480"/>
      </w:pPr>
      <w:r>
        <w:rPr/>
        <w:t>地点：详见谈判公告及其变更公告（如有）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提交响应文件截止时间和开启时间：详见谈判公告及其变更公告（如有）（自响应文件开始发出之日起至响应供应商提交响应文件截止之日止，不得少于3日）</w:t>
      </w:r>
    </w:p>
    <w:p>
      <w:pPr>
        <w:ind w:firstLine="480"/>
      </w:pPr>
      <w:r>
        <w:rPr/>
        <w:t>地点：详见谈判公告及其变更公告（如有）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佛山市公共资源交易网（http://ggzy.foshan.gov.cn/）、佛山市公共资源交易中心禅城分中心（http://ccggzy.chancheng.gov.cn/）、采购代理机构网站（www.fssxyzx.com）。</w:t>
      </w:r>
    </w:p>
    <w:p>
      <w:r>
        <w:rPr>
          <w:b/>
          <w:sz w:val="28"/>
        </w:rPr>
        <w:t>六.本项目联系方式：</w:t>
      </w:r>
    </w:p>
    <w:p>
      <w:r>
        <w:rPr>
          <w:b/>
          <w:sz w:val="24"/>
        </w:rPr>
        <w:t>1.采购人信息</w:t>
      </w:r>
    </w:p>
    <w:p>
      <w:pPr>
        <w:ind w:firstLine="480"/>
      </w:pPr>
      <w:r>
        <w:rPr/>
        <w:t>名称：</w:t>
      </w:r>
      <w:r>
        <w:rPr/>
        <w:t>佛山市禅城区民政局</w:t>
      </w:r>
    </w:p>
    <w:p>
      <w:pPr>
        <w:ind w:firstLine="480"/>
      </w:pPr>
      <w:r>
        <w:rPr/>
        <w:t>地址：</w:t>
      </w:r>
      <w:r>
        <w:rPr/>
        <w:t>佛山市禅城区华远东路62号</w:t>
      </w:r>
    </w:p>
    <w:p>
      <w:pPr>
        <w:ind w:firstLine="480"/>
      </w:pPr>
      <w:r>
        <w:rPr/>
        <w:t>联系方式：</w:t>
      </w:r>
      <w:r>
        <w:rPr/>
        <w:t>0757-82345591</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李小姐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r>
        <w:rPr>
          <w:b/>
          <w:sz w:val="36"/>
        </w:rPr>
        <w:t>第二章 采购需求</w:t>
      </w:r>
    </w:p>
    <w:p>
      <w:r>
        <w:rPr>
          <w:b/>
          <w:sz w:val="28"/>
        </w:rPr>
        <w:t>一、项目概况：</w:t>
      </w:r>
    </w:p>
    <w:p>
      <w:pPr>
        <w:ind w:firstLine="480"/>
      </w:pPr>
    </w:p>
    <w:p/>
    <w:p>
      <w:pPr>
        <w:ind w:firstLine="420"/>
        <w:jc w:val="both"/>
      </w:pPr>
      <w:r>
        <w:rPr>
          <w:sz w:val="21"/>
        </w:rPr>
        <w:t>佛山市禅城区肢体残疾人居家康复（训练、护理）服务合同到期，为进一步保障残疾人康复权益，做好禅城区肢体残疾人居家康复服务采购工作，现该项目需进行服务资格的招标工作，具体方案如下：</w:t>
      </w:r>
    </w:p>
    <w:p/>
    <w:p>
      <w:pPr>
        <w:ind w:firstLine="480"/>
      </w:pPr>
    </w:p>
    <w:p/>
    <w:p>
      <w:r>
        <w:rPr/>
        <w:t>采购包1（禅城区肢体残疾人居家康复服务采购）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自合同签订之日起至2026年8月31日。合同一年一签，第一年（自合同签订之日起至2024年8月31日）合同履行完毕后，采购人根据资金落实情况与对成交供应商考核情况决定是否续签下一年合同。注：因本项目第一次、第二次政府采购失败，导致第一年合同服务期不足12个月。</w:t>
            </w:r>
          </w:p>
        </w:tc>
      </w:tr>
      <w:tr>
        <w:tc>
          <w:tcPr>
            <w:tcW w:type="dxa" w:w="4153"/>
          </w:tcPr>
          <w:p>
            <w:r>
              <w:rPr/>
              <w:t>标的提供的地点</w:t>
            </w:r>
          </w:p>
        </w:tc>
        <w:tc>
          <w:tcPr>
            <w:tcW w:type="dxa" w:w="4153"/>
          </w:tcPr>
          <w:p/>
          <w:p>
            <w:r>
              <w:rPr/>
              <w:t>佛山市采购人指定地点，佛山市禅城区。</w:t>
            </w:r>
          </w:p>
        </w:tc>
      </w:tr>
      <w:tr>
        <w:tc>
          <w:tcPr>
            <w:tcW w:type="dxa" w:w="4153"/>
          </w:tcPr>
          <w:p>
            <w:r>
              <w:rPr/>
              <w:t>付款方式</w:t>
            </w:r>
          </w:p>
        </w:tc>
        <w:tc>
          <w:tcPr>
            <w:tcW w:type="dxa" w:w="4153"/>
          </w:tcPr>
          <w:p/>
          <w:p/>
          <w:p>
            <w:r>
              <w:rPr/>
              <w:t>1期：支付比例100%,★1.自合同生效之日起，每季度结算一次，在每季度结束后的次月进行结算，成交供应商向采购人或佛山市禅城区残疾人联合会报送服务情况统计表，统计情况必须准确、真实、有效，最终以采购人或佛山市禅城区残疾人联合会审核为准。结算的金额=合同单价×采购人或佛山市禅城区残疾人联合会审核确定的实际工作量-考核应扣服务费（如有）。注：第一年合同期最后一期款项仅结算最后不足一个季度服务期的费用。  2.采购人应当自收到发票后10日内将资金支付到成交供应商账户。第一年年度最高结算金额暂按11个月计，即不超过当期总预算金额7,214,400.00÷36×11=2,204,400.00元；第二年与第三年年度最高结算金额不超过当年年度总预算金额即7,214,400.00元÷36月×12月=2,404,800.00元；本项目总最高结算金额不超过214,400.00元÷36月×35月=7,014,000.00元；最终以实际服务数量进行结算。成交供应商凭以下有效文件与采购人结算：  （1）合同；  （2）成交供应商开具的正式发票； （3）中标（成交）通知书。 （4）成交供应商收款时必须持有效发票与甲方结算。收款方、出具发票方、合同乙方均必须与成交供应商名称一致。</w:t>
            </w:r>
          </w:p>
        </w:tc>
      </w:tr>
      <w:tr>
        <w:tc>
          <w:tcPr>
            <w:tcW w:type="dxa" w:w="4153"/>
          </w:tcPr>
          <w:p>
            <w:r>
              <w:rPr/>
              <w:t>验收要求</w:t>
            </w:r>
          </w:p>
        </w:tc>
        <w:tc>
          <w:tcPr>
            <w:tcW w:type="dxa" w:w="4153"/>
          </w:tcPr>
          <w:p/>
          <w:p/>
          <w:p/>
          <w:p>
            <w:r>
              <w:rPr/>
              <w:t>1期：采购人或佛山市禅城区残疾人联合会在收到成交供应商的验收建议之日起7日内按照合同的约定对履约情况进行验收，具体按本项目考核评估要求和合同执行。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1，★供应商须对本项目为单位的服务内容进行整体响应，任何只对其中一部分服务内容进行的响应都被视为无效投标。 本项目不允许分包。</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采用单价形式报价，投标（响应）单价超出最高单价限价（100元/人/次），投标（响应）将被否决。报价包含但不限于以下费用：服务费、交通费、税金以及项目实施过程中其它可预见和不可预见费用等完成本采购项目、达到采购人目的一切费用。</w:t>
            </w:r>
          </w:p>
        </w:tc>
      </w:tr>
      <w:tr>
        <w:tc>
          <w:tcPr>
            <w:tcW w:type="dxa" w:w="2076"/>
          </w:tcPr>
          <w:p>
            <w:pPr>
              <w:jc w:val="center"/>
            </w:pPr>
            <w:r>
              <w:rPr/>
              <w:t>★</w:t>
            </w:r>
          </w:p>
        </w:tc>
        <w:tc>
          <w:tcPr>
            <w:tcW w:type="dxa" w:w="2076"/>
          </w:tcPr>
          <w:p>
            <w:pPr>
              <w:jc w:val="center"/>
            </w:pPr>
            <w:r>
              <w:rPr/>
              <w:t>2</w:t>
            </w:r>
          </w:p>
        </w:tc>
        <w:tc>
          <w:tcPr>
            <w:tcW w:type="dxa" w:w="2076"/>
          </w:tcPr>
          <w:p>
            <w:pPr>
              <w:jc w:val="left"/>
            </w:pPr>
            <w:r>
              <w:rPr/>
              <w:t>服务时间和服务费用标准</w:t>
            </w:r>
          </w:p>
        </w:tc>
        <w:tc>
          <w:tcPr>
            <w:tcW w:type="dxa" w:w="2076"/>
          </w:tcPr>
          <w:p>
            <w:pPr>
              <w:jc w:val="left"/>
            </w:pPr>
            <w:r>
              <w:rPr/>
              <w:t>康复对象每人每月享受上门或部分时间集中的康复服务6次，每次服务时间不少于1小时，服务费用标准为不高于100元（人民币）/次，按实际服务人次数结算，每人总费用不超过600元（人民币）/月。</w:t>
            </w:r>
          </w:p>
        </w:tc>
      </w:tr>
      <w:tr>
        <w:tc>
          <w:tcPr>
            <w:tcW w:type="dxa" w:w="2076"/>
          </w:tcPr>
          <w:p>
            <w:pPr>
              <w:jc w:val="center"/>
            </w:pPr>
          </w:p>
        </w:tc>
        <w:tc>
          <w:tcPr>
            <w:tcW w:type="dxa" w:w="2076"/>
          </w:tcPr>
          <w:p>
            <w:pPr>
              <w:jc w:val="center"/>
            </w:pPr>
            <w:r>
              <w:rPr/>
              <w:t>3</w:t>
            </w:r>
          </w:p>
        </w:tc>
        <w:tc>
          <w:tcPr>
            <w:tcW w:type="dxa" w:w="2076"/>
          </w:tcPr>
          <w:p>
            <w:pPr>
              <w:jc w:val="left"/>
            </w:pPr>
            <w:r>
              <w:rPr/>
              <w:t>其他说明</w:t>
            </w:r>
          </w:p>
        </w:tc>
        <w:tc>
          <w:tcPr>
            <w:tcW w:type="dxa" w:w="2076"/>
          </w:tcPr>
          <w:p>
            <w:pPr>
              <w:jc w:val="left"/>
            </w:pPr>
            <w:r>
              <w:rPr/>
              <w:t>1.本项目采购人为佛山市禅城区民政局，服务管理单位为佛山市禅城区残疾人联合会，由佛山市禅城区残疾人联合会对成交供应商提供的服务进行监管与考核。 2.成交供应商应保障服务人员在项目服务过程中的人身与财产安全，服务人员在项目服务工作（含路途）中出现的安全风险、以及在服务过程中造成的服务对象安全风险均由成交供应商承担。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康复服务</w:t>
            </w:r>
          </w:p>
        </w:tc>
        <w:tc>
          <w:tcPr>
            <w:tcW w:type="dxa" w:w="933"/>
          </w:tcPr>
          <w:p>
            <w:pPr>
              <w:jc w:val="left"/>
            </w:pPr>
            <w:r>
              <w:rPr/>
              <w:t>禅城区肢体残疾人居家康复服务采购</w:t>
            </w:r>
          </w:p>
        </w:tc>
        <w:tc>
          <w:tcPr>
            <w:tcW w:type="dxa" w:w="933"/>
          </w:tcPr>
          <w:p>
            <w:pPr>
              <w:jc w:val="left"/>
            </w:pPr>
            <w:r>
              <w:rPr/>
              <w:t>项</w:t>
            </w:r>
          </w:p>
        </w:tc>
        <w:tc>
          <w:tcPr>
            <w:tcW w:type="dxa" w:w="933"/>
          </w:tcPr>
          <w:p>
            <w:pPr>
              <w:jc w:val="right"/>
            </w:pPr>
            <w:r>
              <w:rPr/>
              <w:t>1.00</w:t>
            </w:r>
          </w:p>
        </w:tc>
        <w:tc>
          <w:tcPr>
            <w:tcW w:type="dxa" w:w="933"/>
          </w:tcPr>
          <w:p>
            <w:pPr>
              <w:jc w:val="right"/>
            </w:pPr>
            <w:r>
              <w:rPr/>
              <w:t>7,214,400.00</w:t>
            </w:r>
          </w:p>
        </w:tc>
        <w:tc>
          <w:tcPr>
            <w:tcW w:type="dxa" w:w="933"/>
          </w:tcPr>
          <w:p>
            <w:pPr>
              <w:jc w:val="right"/>
            </w:pPr>
            <w:r>
              <w:rPr/>
              <w:t>7,214,400.00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禅城区肢体残疾人居家康复服务采购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b/>
                <w:sz w:val="21"/>
              </w:rPr>
              <w:t>一、服务目标</w:t>
            </w:r>
          </w:p>
          <w:p>
            <w:pPr>
              <w:jc w:val="both"/>
            </w:pPr>
            <w:r>
              <w:rPr>
                <w:sz w:val="21"/>
              </w:rPr>
              <w:t>在最佳康复期内，帮助肢体残疾人防止并发症的发生和残疾程度加重，提高日常生活自理能力与就业能力，以达到功能重建，提高生活质量、融入社会的目的。</w:t>
            </w:r>
          </w:p>
          <w:p/>
          <w:p>
            <w:pPr>
              <w:jc w:val="both"/>
            </w:pPr>
            <w:r>
              <w:rPr/>
              <w:t xml:space="preserve"> </w:t>
            </w:r>
          </w:p>
          <w:p>
            <w:pPr>
              <w:jc w:val="left"/>
            </w:pPr>
          </w:p>
        </w:tc>
      </w:tr>
      <w:tr>
        <w:tc>
          <w:tcPr>
            <w:tcW w:type="dxa" w:w="2076"/>
          </w:tcPr>
          <w:p>
            <w:r>
              <w:rPr/>
              <w:t>▲</w:t>
            </w:r>
          </w:p>
        </w:tc>
        <w:tc>
          <w:tcPr>
            <w:tcW w:type="dxa" w:w="415"/>
          </w:tcPr>
          <w:p>
            <w:r>
              <w:rPr/>
              <w:t>2</w:t>
            </w:r>
          </w:p>
        </w:tc>
        <w:tc>
          <w:tcPr>
            <w:tcW w:type="dxa" w:w="5814"/>
          </w:tcPr>
          <w:p>
            <w:pPr>
              <w:jc w:val="both"/>
            </w:pPr>
          </w:p>
          <w:p>
            <w:pPr>
              <w:jc w:val="both"/>
            </w:pPr>
            <w:r>
              <w:rPr>
                <w:b/>
                <w:sz w:val="21"/>
              </w:rPr>
              <w:t>二、服务方式</w:t>
            </w:r>
          </w:p>
          <w:p>
            <w:pPr>
              <w:jc w:val="both"/>
            </w:pPr>
            <w:r>
              <w:rPr>
                <w:sz w:val="21"/>
              </w:rPr>
              <w:t>以服务对象家庭为核心，由康复服务专业人员为服务对象提供上门或部分时间集中的康复训练和康复护理等综合康复服务。根据服务对象实际情况开展针对性的康复服务。</w:t>
            </w:r>
          </w:p>
          <w:p/>
        </w:tc>
      </w:tr>
      <w:tr>
        <w:tc>
          <w:tcPr>
            <w:tcW w:type="dxa" w:w="2076"/>
          </w:tcPr>
          <w:p/>
        </w:tc>
        <w:tc>
          <w:tcPr>
            <w:tcW w:type="dxa" w:w="415"/>
          </w:tcPr>
          <w:p>
            <w:r>
              <w:rPr/>
              <w:t>3</w:t>
            </w:r>
          </w:p>
        </w:tc>
        <w:tc>
          <w:tcPr>
            <w:tcW w:type="dxa" w:w="5814"/>
          </w:tcPr>
          <w:p>
            <w:pPr>
              <w:jc w:val="left"/>
            </w:pPr>
            <w:r>
              <w:rPr>
                <w:b/>
                <w:sz w:val="21"/>
              </w:rPr>
              <w:t>三、服务对象及人数</w:t>
            </w:r>
          </w:p>
          <w:p>
            <w:pPr>
              <w:ind w:firstLine="420"/>
              <w:jc w:val="left"/>
            </w:pPr>
            <w:r>
              <w:rPr>
                <w:sz w:val="21"/>
              </w:rPr>
              <w:t>符合《佛山市禅城区人民政府残疾人工作委员会关于印发禅城区残疾人康复救助服务相关实施细则的通知》</w:t>
            </w:r>
            <w:r>
              <w:rPr>
                <w:sz w:val="21"/>
              </w:rPr>
              <w:t>(</w:t>
            </w:r>
            <w:r>
              <w:rPr>
                <w:sz w:val="21"/>
              </w:rPr>
              <w:t>禅残工委〔</w:t>
            </w:r>
            <w:r>
              <w:rPr>
                <w:sz w:val="21"/>
              </w:rPr>
              <w:t>2022</w:t>
            </w:r>
            <w:r>
              <w:rPr>
                <w:sz w:val="21"/>
              </w:rPr>
              <w:t>〕</w:t>
            </w:r>
            <w:r>
              <w:rPr>
                <w:sz w:val="21"/>
              </w:rPr>
              <w:t>3</w:t>
            </w:r>
            <w:r>
              <w:rPr>
                <w:sz w:val="21"/>
              </w:rPr>
              <w:t>号</w:t>
            </w:r>
            <w:r>
              <w:rPr>
                <w:sz w:val="21"/>
              </w:rPr>
              <w:t>)</w:t>
            </w:r>
            <w:r>
              <w:rPr>
                <w:sz w:val="21"/>
              </w:rPr>
              <w:t>中的肢体残疾人，服务人数约为</w:t>
            </w:r>
            <w:r>
              <w:rPr>
                <w:sz w:val="21"/>
              </w:rPr>
              <w:t>334</w:t>
            </w:r>
            <w:r>
              <w:rPr>
                <w:sz w:val="21"/>
              </w:rPr>
              <w:t>人，以采购人或佛山市禅城区残疾人联合会最终审核确认为准。佛山市禅城区各镇街服务人数分布情况如下：</w:t>
            </w:r>
          </w:p>
          <w:tbl>
            <w:tblPr>
              <w:tblInd w:type="dxa" w:w="255"/>
              <w:tblBorders>
                <w:top w:val="none" w:color="000000" w:sz="4"/>
                <w:left w:val="none" w:color="000000" w:sz="4"/>
                <w:bottom w:val="none" w:color="000000" w:sz="4"/>
                <w:right w:val="none" w:color="000000" w:sz="4"/>
                <w:insideH w:val="none"/>
                <w:insideV w:val="none"/>
              </w:tblBorders>
            </w:tblPr>
            <w:tblGrid>
              <w:gridCol w:w="1016"/>
              <w:gridCol w:w="1472"/>
              <w:gridCol w:w="1532"/>
              <w:gridCol w:w="1578"/>
            </w:tblGrid>
            <w:tr>
              <w:tc>
                <w:tcPr>
                  <w:tcW w:type="dxa" w:w="1016"/>
                  <w:tcBorders>
                    <w:top w:val="single" w:color="000000" w:sz="4"/>
                    <w:left w:val="single" w:color="000000" w:sz="4"/>
                    <w:bottom w:val="single" w:color="000000" w:sz="4"/>
                    <w:right w:val="single" w:color="000000" w:sz="4"/>
                  </w:tcBorders>
                  <w:vAlign w:val="top"/>
                </w:tcPr>
                <w:p>
                  <w:pPr>
                    <w:jc w:val="center"/>
                  </w:pPr>
                  <w:r>
                    <w:rPr>
                      <w:b/>
                      <w:sz w:val="21"/>
                    </w:rPr>
                    <w:t>镇街</w:t>
                  </w:r>
                </w:p>
              </w:tc>
              <w:tc>
                <w:tcPr>
                  <w:tcW w:type="dxa" w:w="1472"/>
                  <w:tcBorders>
                    <w:top w:val="single" w:color="000000" w:sz="4"/>
                    <w:left w:val="none" w:color="000000" w:sz="4"/>
                    <w:bottom w:val="single" w:color="000000" w:sz="4"/>
                    <w:right w:val="single" w:color="000000" w:sz="4"/>
                  </w:tcBorders>
                  <w:vAlign w:val="top"/>
                </w:tcPr>
                <w:p>
                  <w:pPr>
                    <w:jc w:val="center"/>
                  </w:pPr>
                  <w:r>
                    <w:rPr>
                      <w:b/>
                      <w:sz w:val="21"/>
                    </w:rPr>
                    <w:t>原服务人数（人）</w:t>
                  </w:r>
                </w:p>
              </w:tc>
              <w:tc>
                <w:tcPr>
                  <w:tcW w:type="dxa" w:w="1532"/>
                  <w:tcBorders>
                    <w:top w:val="single" w:color="000000" w:sz="4"/>
                    <w:left w:val="none" w:color="000000" w:sz="4"/>
                    <w:bottom w:val="single" w:color="000000" w:sz="4"/>
                    <w:right w:val="single" w:color="000000" w:sz="4"/>
                  </w:tcBorders>
                  <w:vAlign w:val="top"/>
                </w:tcPr>
                <w:p>
                  <w:pPr>
                    <w:jc w:val="center"/>
                  </w:pPr>
                  <w:r>
                    <w:rPr>
                      <w:b/>
                      <w:sz w:val="21"/>
                    </w:rPr>
                    <w:t>预计新增</w:t>
                  </w:r>
                </w:p>
                <w:p>
                  <w:pPr>
                    <w:jc w:val="center"/>
                  </w:pPr>
                  <w:r>
                    <w:rPr>
                      <w:b/>
                      <w:sz w:val="21"/>
                    </w:rPr>
                    <w:t>服务人数（人）</w:t>
                  </w:r>
                </w:p>
              </w:tc>
              <w:tc>
                <w:tcPr>
                  <w:tcW w:type="dxa" w:w="1578"/>
                  <w:tcBorders>
                    <w:top w:val="single" w:color="000000" w:sz="4"/>
                    <w:left w:val="none" w:color="000000" w:sz="4"/>
                    <w:bottom w:val="single" w:color="000000" w:sz="4"/>
                    <w:right w:val="single" w:color="000000" w:sz="4"/>
                  </w:tcBorders>
                  <w:vAlign w:val="top"/>
                </w:tcPr>
                <w:p>
                  <w:pPr>
                    <w:jc w:val="center"/>
                  </w:pPr>
                  <w:r>
                    <w:rPr>
                      <w:b/>
                      <w:sz w:val="21"/>
                    </w:rPr>
                    <w:t>预计总服务人数（人）</w:t>
                  </w:r>
                </w:p>
              </w:tc>
            </w:tr>
            <w:tr>
              <w:tc>
                <w:tcPr>
                  <w:tcW w:type="dxa" w:w="1016"/>
                  <w:tcBorders>
                    <w:top w:val="none" w:color="000000" w:sz="4"/>
                    <w:left w:val="single" w:color="000000" w:sz="4"/>
                    <w:bottom w:val="single" w:color="000000" w:sz="4"/>
                    <w:right w:val="single" w:color="000000" w:sz="4"/>
                  </w:tcBorders>
                  <w:vAlign w:val="top"/>
                </w:tcPr>
                <w:p>
                  <w:pPr>
                    <w:jc w:val="center"/>
                  </w:pPr>
                  <w:r>
                    <w:rPr>
                      <w:sz w:val="21"/>
                    </w:rPr>
                    <w:t>祖庙街道</w:t>
                  </w:r>
                </w:p>
              </w:tc>
              <w:tc>
                <w:tcPr>
                  <w:tcW w:type="dxa" w:w="1472"/>
                  <w:tcBorders>
                    <w:top w:val="none" w:color="000000" w:sz="4"/>
                    <w:left w:val="none" w:color="000000" w:sz="4"/>
                    <w:bottom w:val="single" w:color="000000" w:sz="4"/>
                    <w:right w:val="single" w:color="000000" w:sz="4"/>
                  </w:tcBorders>
                  <w:vAlign w:val="top"/>
                </w:tcPr>
                <w:p>
                  <w:pPr>
                    <w:jc w:val="center"/>
                  </w:pPr>
                  <w:r>
                    <w:rPr>
                      <w:sz w:val="21"/>
                    </w:rPr>
                    <w:t>57</w:t>
                  </w:r>
                </w:p>
              </w:tc>
              <w:tc>
                <w:tcPr>
                  <w:tcW w:type="dxa" w:w="1532"/>
                  <w:tcBorders>
                    <w:top w:val="none" w:color="000000" w:sz="4"/>
                    <w:left w:val="none" w:color="000000" w:sz="4"/>
                    <w:bottom w:val="single" w:color="000000" w:sz="4"/>
                    <w:right w:val="single" w:color="000000" w:sz="4"/>
                  </w:tcBorders>
                  <w:vAlign w:val="top"/>
                </w:tcPr>
                <w:p>
                  <w:pPr>
                    <w:jc w:val="center"/>
                  </w:pPr>
                  <w:r>
                    <w:rPr>
                      <w:sz w:val="21"/>
                    </w:rPr>
                    <w:t>73</w:t>
                  </w:r>
                </w:p>
              </w:tc>
              <w:tc>
                <w:tcPr>
                  <w:tcW w:type="dxa" w:w="1578"/>
                  <w:tcBorders>
                    <w:top w:val="none" w:color="000000" w:sz="4"/>
                    <w:left w:val="none" w:color="000000" w:sz="4"/>
                    <w:bottom w:val="single" w:color="000000" w:sz="4"/>
                    <w:right w:val="single" w:color="000000" w:sz="4"/>
                  </w:tcBorders>
                  <w:vAlign w:val="top"/>
                </w:tcPr>
                <w:p>
                  <w:pPr>
                    <w:jc w:val="center"/>
                  </w:pPr>
                  <w:r>
                    <w:rPr>
                      <w:sz w:val="21"/>
                    </w:rPr>
                    <w:t>130</w:t>
                  </w:r>
                </w:p>
              </w:tc>
            </w:tr>
            <w:tr>
              <w:tc>
                <w:tcPr>
                  <w:tcW w:type="dxa" w:w="1016"/>
                  <w:tcBorders>
                    <w:top w:val="none" w:color="000000" w:sz="4"/>
                    <w:left w:val="single" w:color="000000" w:sz="4"/>
                    <w:bottom w:val="single" w:color="000000" w:sz="4"/>
                    <w:right w:val="single" w:color="000000" w:sz="4"/>
                  </w:tcBorders>
                  <w:vAlign w:val="top"/>
                </w:tcPr>
                <w:p>
                  <w:pPr>
                    <w:jc w:val="center"/>
                  </w:pPr>
                  <w:r>
                    <w:rPr>
                      <w:sz w:val="21"/>
                    </w:rPr>
                    <w:t>张槎街道</w:t>
                  </w:r>
                </w:p>
              </w:tc>
              <w:tc>
                <w:tcPr>
                  <w:tcW w:type="dxa" w:w="1472"/>
                  <w:tcBorders>
                    <w:top w:val="none" w:color="000000" w:sz="4"/>
                    <w:left w:val="none" w:color="000000" w:sz="4"/>
                    <w:bottom w:val="single" w:color="000000" w:sz="4"/>
                    <w:right w:val="single" w:color="000000" w:sz="4"/>
                  </w:tcBorders>
                  <w:vAlign w:val="top"/>
                </w:tcPr>
                <w:p>
                  <w:pPr>
                    <w:jc w:val="center"/>
                  </w:pPr>
                  <w:r>
                    <w:rPr>
                      <w:sz w:val="21"/>
                    </w:rPr>
                    <w:t>23</w:t>
                  </w:r>
                </w:p>
              </w:tc>
              <w:tc>
                <w:tcPr>
                  <w:tcW w:type="dxa" w:w="1532"/>
                  <w:tcBorders>
                    <w:top w:val="none" w:color="000000" w:sz="4"/>
                    <w:left w:val="none" w:color="000000" w:sz="4"/>
                    <w:bottom w:val="single" w:color="000000" w:sz="4"/>
                    <w:right w:val="single" w:color="000000" w:sz="4"/>
                  </w:tcBorders>
                  <w:vAlign w:val="top"/>
                </w:tcPr>
                <w:p>
                  <w:pPr>
                    <w:jc w:val="center"/>
                  </w:pPr>
                  <w:r>
                    <w:rPr>
                      <w:sz w:val="21"/>
                    </w:rPr>
                    <w:t>35</w:t>
                  </w:r>
                </w:p>
              </w:tc>
              <w:tc>
                <w:tcPr>
                  <w:tcW w:type="dxa" w:w="1578"/>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016"/>
                  <w:tcBorders>
                    <w:top w:val="none" w:color="000000" w:sz="4"/>
                    <w:left w:val="single" w:color="000000" w:sz="4"/>
                    <w:bottom w:val="single" w:color="000000" w:sz="4"/>
                    <w:right w:val="single" w:color="000000" w:sz="4"/>
                  </w:tcBorders>
                  <w:vAlign w:val="top"/>
                </w:tcPr>
                <w:p>
                  <w:pPr>
                    <w:jc w:val="center"/>
                  </w:pPr>
                  <w:r>
                    <w:rPr>
                      <w:sz w:val="21"/>
                    </w:rPr>
                    <w:t>石湾镇街道</w:t>
                  </w:r>
                </w:p>
              </w:tc>
              <w:tc>
                <w:tcPr>
                  <w:tcW w:type="dxa" w:w="1472"/>
                  <w:tcBorders>
                    <w:top w:val="none" w:color="000000" w:sz="4"/>
                    <w:left w:val="none" w:color="000000" w:sz="4"/>
                    <w:bottom w:val="single" w:color="000000" w:sz="4"/>
                    <w:right w:val="single" w:color="000000" w:sz="4"/>
                  </w:tcBorders>
                  <w:vAlign w:val="top"/>
                </w:tcPr>
                <w:p>
                  <w:pPr>
                    <w:jc w:val="center"/>
                  </w:pPr>
                  <w:r>
                    <w:rPr>
                      <w:sz w:val="21"/>
                    </w:rPr>
                    <w:t>33</w:t>
                  </w:r>
                </w:p>
              </w:tc>
              <w:tc>
                <w:tcPr>
                  <w:tcW w:type="dxa" w:w="1532"/>
                  <w:tcBorders>
                    <w:top w:val="none" w:color="000000" w:sz="4"/>
                    <w:left w:val="none" w:color="000000" w:sz="4"/>
                    <w:bottom w:val="single" w:color="000000" w:sz="4"/>
                    <w:right w:val="single" w:color="000000" w:sz="4"/>
                  </w:tcBorders>
                  <w:vAlign w:val="top"/>
                </w:tcPr>
                <w:p>
                  <w:pPr>
                    <w:jc w:val="center"/>
                  </w:pPr>
                  <w:r>
                    <w:rPr>
                      <w:sz w:val="21"/>
                    </w:rPr>
                    <w:t>105</w:t>
                  </w:r>
                </w:p>
              </w:tc>
              <w:tc>
                <w:tcPr>
                  <w:tcW w:type="dxa" w:w="1578"/>
                  <w:tcBorders>
                    <w:top w:val="none" w:color="000000" w:sz="4"/>
                    <w:left w:val="none" w:color="000000" w:sz="4"/>
                    <w:bottom w:val="single" w:color="000000" w:sz="4"/>
                    <w:right w:val="single" w:color="000000" w:sz="4"/>
                  </w:tcBorders>
                  <w:vAlign w:val="top"/>
                </w:tcPr>
                <w:p>
                  <w:pPr>
                    <w:jc w:val="center"/>
                  </w:pPr>
                  <w:r>
                    <w:rPr>
                      <w:sz w:val="21"/>
                    </w:rPr>
                    <w:t>138</w:t>
                  </w:r>
                </w:p>
              </w:tc>
            </w:tr>
            <w:tr>
              <w:tc>
                <w:tcPr>
                  <w:tcW w:type="dxa" w:w="1016"/>
                  <w:tcBorders>
                    <w:top w:val="none" w:color="000000" w:sz="4"/>
                    <w:left w:val="single" w:color="000000" w:sz="4"/>
                    <w:bottom w:val="single" w:color="000000" w:sz="4"/>
                    <w:right w:val="single" w:color="000000" w:sz="4"/>
                  </w:tcBorders>
                  <w:vAlign w:val="top"/>
                </w:tcPr>
                <w:p>
                  <w:pPr>
                    <w:jc w:val="center"/>
                  </w:pPr>
                  <w:r>
                    <w:rPr>
                      <w:sz w:val="21"/>
                    </w:rPr>
                    <w:t>南庄镇</w:t>
                  </w:r>
                </w:p>
              </w:tc>
              <w:tc>
                <w:tcPr>
                  <w:tcW w:type="dxa" w:w="1472"/>
                  <w:tcBorders>
                    <w:top w:val="none" w:color="000000" w:sz="4"/>
                    <w:left w:val="none" w:color="000000" w:sz="4"/>
                    <w:bottom w:val="single" w:color="000000" w:sz="4"/>
                    <w:right w:val="single" w:color="000000" w:sz="4"/>
                  </w:tcBorders>
                  <w:vAlign w:val="top"/>
                </w:tcPr>
                <w:p>
                  <w:pPr>
                    <w:jc w:val="center"/>
                  </w:pPr>
                  <w:r>
                    <w:rPr>
                      <w:sz w:val="21"/>
                    </w:rPr>
                    <w:t>8</w:t>
                  </w:r>
                </w:p>
              </w:tc>
              <w:tc>
                <w:tcPr>
                  <w:tcW w:type="dxa" w:w="1532"/>
                  <w:tcBorders>
                    <w:top w:val="none" w:color="000000" w:sz="4"/>
                    <w:left w:val="none" w:color="000000" w:sz="4"/>
                    <w:bottom w:val="single" w:color="000000" w:sz="4"/>
                    <w:right w:val="single" w:color="000000" w:sz="4"/>
                  </w:tcBorders>
                  <w:vAlign w:val="top"/>
                </w:tcPr>
                <w:p>
                  <w:pPr>
                    <w:jc w:val="center"/>
                  </w:pPr>
                  <w:r>
                    <w:rPr>
                      <w:sz w:val="21"/>
                    </w:rPr>
                    <w:t>0</w:t>
                  </w:r>
                </w:p>
              </w:tc>
              <w:tc>
                <w:tcPr>
                  <w:tcW w:type="dxa" w:w="1578"/>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1016"/>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472"/>
                  <w:tcBorders>
                    <w:top w:val="none" w:color="000000" w:sz="4"/>
                    <w:left w:val="none" w:color="000000" w:sz="4"/>
                    <w:bottom w:val="single" w:color="000000" w:sz="4"/>
                    <w:right w:val="single" w:color="000000" w:sz="4"/>
                  </w:tcBorders>
                  <w:vAlign w:val="top"/>
                </w:tcPr>
                <w:p>
                  <w:pPr>
                    <w:jc w:val="center"/>
                  </w:pPr>
                  <w:r>
                    <w:rPr>
                      <w:sz w:val="21"/>
                    </w:rPr>
                    <w:t>121</w:t>
                  </w:r>
                </w:p>
              </w:tc>
              <w:tc>
                <w:tcPr>
                  <w:tcW w:type="dxa" w:w="1532"/>
                  <w:tcBorders>
                    <w:top w:val="none" w:color="000000" w:sz="4"/>
                    <w:left w:val="none" w:color="000000" w:sz="4"/>
                    <w:bottom w:val="single" w:color="000000" w:sz="4"/>
                    <w:right w:val="single" w:color="000000" w:sz="4"/>
                  </w:tcBorders>
                  <w:vAlign w:val="top"/>
                </w:tcPr>
                <w:p>
                  <w:pPr>
                    <w:jc w:val="center"/>
                  </w:pPr>
                  <w:r>
                    <w:rPr>
                      <w:sz w:val="21"/>
                    </w:rPr>
                    <w:t>213</w:t>
                  </w:r>
                </w:p>
              </w:tc>
              <w:tc>
                <w:tcPr>
                  <w:tcW w:type="dxa" w:w="1578"/>
                  <w:tcBorders>
                    <w:top w:val="none" w:color="000000" w:sz="4"/>
                    <w:left w:val="none" w:color="000000" w:sz="4"/>
                    <w:bottom w:val="single" w:color="000000" w:sz="4"/>
                    <w:right w:val="single" w:color="000000" w:sz="4"/>
                  </w:tcBorders>
                  <w:vAlign w:val="top"/>
                </w:tcPr>
                <w:p>
                  <w:pPr>
                    <w:jc w:val="center"/>
                  </w:pPr>
                  <w:r>
                    <w:rPr>
                      <w:sz w:val="21"/>
                    </w:rPr>
                    <w:t>334</w:t>
                  </w:r>
                </w:p>
              </w:tc>
            </w:tr>
          </w:tbl>
        </w:tc>
      </w:tr>
      <w:tr>
        <w:tc>
          <w:tcPr>
            <w:tcW w:type="dxa" w:w="2076"/>
          </w:tcPr>
          <w:p>
            <w:r>
              <w:rPr/>
              <w:t>▲</w:t>
            </w:r>
          </w:p>
        </w:tc>
        <w:tc>
          <w:tcPr>
            <w:tcW w:type="dxa" w:w="415"/>
          </w:tcPr>
          <w:p>
            <w:r>
              <w:rPr/>
              <w:t>4</w:t>
            </w:r>
          </w:p>
        </w:tc>
        <w:tc>
          <w:tcPr>
            <w:tcW w:type="dxa" w:w="5814"/>
          </w:tcPr>
          <w:p>
            <w:pPr>
              <w:jc w:val="left"/>
            </w:pPr>
            <w:r>
              <w:rPr>
                <w:b/>
                <w:sz w:val="21"/>
              </w:rPr>
              <w:t>四、服务内容</w:t>
            </w:r>
          </w:p>
          <w:p>
            <w:pPr>
              <w:ind w:firstLine="420"/>
              <w:jc w:val="both"/>
            </w:pPr>
            <w:r>
              <w:rPr>
                <w:sz w:val="21"/>
              </w:rPr>
              <w:t>1.</w:t>
            </w:r>
            <w:r>
              <w:rPr>
                <w:sz w:val="21"/>
              </w:rPr>
              <w:t>康复训练：由具有相应专业资质的医生、治疗师上门为肢体残疾人提供康复训练，包括功能评估、运动治疗、作业治疗、语言治疗、心理治疗、物理治疗、生活能力训练和个别训练等，同时为服务对象的照顾者提供居家训练及支援，以加强他们照顾残疾人的能力，帮助他们克服日常家居生活中遇到的相关问题。</w:t>
            </w:r>
          </w:p>
          <w:p>
            <w:pPr>
              <w:ind w:firstLine="420"/>
              <w:jc w:val="both"/>
            </w:pPr>
            <w:r>
              <w:rPr>
                <w:sz w:val="21"/>
              </w:rPr>
              <w:t>2.</w:t>
            </w:r>
            <w:r>
              <w:rPr>
                <w:sz w:val="21"/>
              </w:rPr>
              <w:t>康复护理：由具有相应专业资质的护理人员上门为肢体残疾人提供翻身、饮食护理、洗漱护理及排泄护理等各项康复护理服务。</w:t>
            </w:r>
          </w:p>
          <w:p>
            <w:pPr>
              <w:jc w:val="both"/>
            </w:pPr>
            <w:r>
              <w:rPr>
                <w:sz w:val="21"/>
              </w:rPr>
              <w:t xml:space="preserve">   3.</w:t>
            </w:r>
            <w:r>
              <w:rPr>
                <w:sz w:val="21"/>
              </w:rPr>
              <w:t>其他服务：</w:t>
            </w:r>
            <w:r>
              <w:rPr>
                <w:sz w:val="21"/>
              </w:rPr>
              <w:t>①</w:t>
            </w:r>
            <w:r>
              <w:rPr>
                <w:sz w:val="21"/>
              </w:rPr>
              <w:t>建立康复训练档案：为服务对象建立康复训练档案及健康档案，包括训练登记、训练评估、训练计划、训练记录、评估与总结和评估标准等内容，作为康复训练工作规范化的重要措施；</w:t>
            </w:r>
            <w:r>
              <w:rPr>
                <w:sz w:val="21"/>
              </w:rPr>
              <w:t>②</w:t>
            </w:r>
            <w:r>
              <w:rPr>
                <w:sz w:val="21"/>
              </w:rPr>
              <w:t>社区家庭康复指导：为康复训练对象及其监护人员提供康复咨询、康复训练的基本知识和技能培训，并做好服务对象后续跟踪和转介服务；</w:t>
            </w:r>
            <w:r>
              <w:rPr>
                <w:sz w:val="21"/>
              </w:rPr>
              <w:t>③</w:t>
            </w:r>
            <w:r>
              <w:rPr>
                <w:sz w:val="21"/>
              </w:rPr>
              <w:t>做好数据统计和分析，建立业务数据电子表格资料，对相关服务数据做好整理，并定期进行统计、分析；</w:t>
            </w:r>
            <w:r>
              <w:rPr>
                <w:sz w:val="21"/>
              </w:rPr>
              <w:t>④</w:t>
            </w:r>
            <w:r>
              <w:rPr>
                <w:sz w:val="21"/>
              </w:rPr>
              <w:t>为新一年度有居家康复服务需求的肢体残疾人进行前期评估。</w:t>
            </w:r>
          </w:p>
        </w:tc>
      </w:tr>
      <w:tr>
        <w:tc>
          <w:tcPr>
            <w:tcW w:type="dxa" w:w="2076"/>
          </w:tcPr>
          <w:p/>
        </w:tc>
        <w:tc>
          <w:tcPr>
            <w:tcW w:type="dxa" w:w="415"/>
          </w:tcPr>
          <w:p>
            <w:r>
              <w:rPr/>
              <w:t>5</w:t>
            </w:r>
          </w:p>
        </w:tc>
        <w:tc>
          <w:tcPr>
            <w:tcW w:type="dxa" w:w="5814"/>
          </w:tcPr>
          <w:p/>
          <w:p>
            <w:pPr>
              <w:jc w:val="both"/>
            </w:pPr>
            <w:r>
              <w:rPr>
                <w:b/>
                <w:sz w:val="21"/>
              </w:rPr>
              <w:t>五、人员配备要求</w:t>
            </w:r>
          </w:p>
          <w:p>
            <w:pPr>
              <w:jc w:val="both"/>
            </w:pPr>
            <w:r>
              <w:rPr>
                <w:sz w:val="21"/>
              </w:rPr>
              <w:t>1.</w:t>
            </w:r>
            <w:r>
              <w:rPr>
                <w:sz w:val="21"/>
              </w:rPr>
              <w:t>成交供应商需根据服务对象的人数及服务时长数，配备</w:t>
            </w:r>
            <w:r>
              <w:rPr>
                <w:sz w:val="21"/>
              </w:rPr>
              <w:t>15</w:t>
            </w:r>
            <w:r>
              <w:rPr>
                <w:sz w:val="21"/>
              </w:rPr>
              <w:t>人的工作人员（含康复医生、治疗师和护士）。其中有</w:t>
            </w:r>
            <w:r>
              <w:rPr>
                <w:sz w:val="21"/>
              </w:rPr>
              <w:t>1</w:t>
            </w:r>
            <w:r>
              <w:rPr>
                <w:sz w:val="21"/>
              </w:rPr>
              <w:t>名康复医生，需持有执业证书；治疗师和护士均需持有执业证书。采购人有权根据实际情况要求成交供应商增加服务人员。</w:t>
            </w:r>
          </w:p>
          <w:p>
            <w:pPr>
              <w:jc w:val="both"/>
            </w:pPr>
            <w:r>
              <w:rPr>
                <w:sz w:val="21"/>
              </w:rPr>
              <w:t>2.</w:t>
            </w:r>
            <w:r>
              <w:rPr>
                <w:sz w:val="21"/>
              </w:rPr>
              <w:t>响应供应商须保证项目实施过程中的人员与投标文件内拟投入的人员一致。在项目实施过程中，拟投入的人员不可变更，如因特殊情况，如人员离职等确需变更的，须提前</w:t>
            </w:r>
            <w:r>
              <w:rPr>
                <w:sz w:val="21"/>
              </w:rPr>
              <w:t>15</w:t>
            </w:r>
            <w:r>
              <w:rPr>
                <w:sz w:val="21"/>
              </w:rPr>
              <w:t>天向佛山市禅城区残疾人联合会提交书面申请，经佛山市禅城区残疾人联合会书面同意后方可变更且变更人员资质须等于或高于原人员资质。如在项目实施过程中成交供应商投标（响应）文件内拟投入的人员不能满足实际要求的，成交供应商应无条件及时补充具有相应资质的人员。项目实施过程中，如总服务人数与招标文件内预计人数有较大变化的，经佛山市禅城区残疾人联合会同意后，成交供应商可根据总服务人数调整专业康复服务人员数量，但应保证在项目实施过程中配备的专业康复服务人员配比总服务人数比例不低于</w:t>
            </w:r>
            <w:r>
              <w:rPr>
                <w:sz w:val="21"/>
              </w:rPr>
              <w:t>5%</w:t>
            </w:r>
            <w:r>
              <w:rPr>
                <w:sz w:val="21"/>
              </w:rPr>
              <w:t>。</w:t>
            </w:r>
          </w:p>
          <w:p/>
        </w:tc>
      </w:tr>
      <w:tr>
        <w:tc>
          <w:tcPr>
            <w:tcW w:type="dxa" w:w="2076"/>
          </w:tcPr>
          <w:p>
            <w:r>
              <w:rPr/>
              <w:t>▲</w:t>
            </w:r>
          </w:p>
        </w:tc>
        <w:tc>
          <w:tcPr>
            <w:tcW w:type="dxa" w:w="415"/>
          </w:tcPr>
          <w:p>
            <w:r>
              <w:rPr/>
              <w:t>6</w:t>
            </w:r>
          </w:p>
        </w:tc>
        <w:tc>
          <w:tcPr>
            <w:tcW w:type="dxa" w:w="5814"/>
          </w:tcPr>
          <w:p>
            <w:pPr>
              <w:jc w:val="both"/>
            </w:pPr>
            <w:r>
              <w:rPr>
                <w:b/>
                <w:sz w:val="21"/>
              </w:rPr>
              <w:t>六、考核评估</w:t>
            </w:r>
          </w:p>
          <w:p>
            <w:pPr>
              <w:ind w:firstLine="420"/>
              <w:jc w:val="both"/>
            </w:pPr>
            <w:r>
              <w:rPr>
                <w:sz w:val="21"/>
              </w:rPr>
              <w:t>为保证服务质量，采购人或佛山市禅城区残疾人联合会聘请第三方评估机构对成交供应商每季度进行一次考核，每次考核</w:t>
            </w:r>
            <w:r>
              <w:rPr>
                <w:sz w:val="21"/>
              </w:rPr>
              <w:t>100</w:t>
            </w:r>
            <w:r>
              <w:rPr>
                <w:sz w:val="21"/>
              </w:rPr>
              <w:t>分为满分，</w:t>
            </w:r>
            <w:r>
              <w:rPr>
                <w:sz w:val="21"/>
              </w:rPr>
              <w:t>85</w:t>
            </w:r>
            <w:r>
              <w:rPr>
                <w:sz w:val="21"/>
              </w:rPr>
              <w:t>分为合格，不满</w:t>
            </w:r>
            <w:r>
              <w:rPr>
                <w:sz w:val="21"/>
              </w:rPr>
              <w:t>85</w:t>
            </w:r>
            <w:r>
              <w:rPr>
                <w:sz w:val="21"/>
              </w:rPr>
              <w:t>分为不合格，以</w:t>
            </w:r>
            <w:r>
              <w:rPr>
                <w:sz w:val="21"/>
              </w:rPr>
              <w:t>85</w:t>
            </w:r>
            <w:r>
              <w:rPr>
                <w:sz w:val="21"/>
              </w:rPr>
              <w:t>分为界，每低</w:t>
            </w:r>
            <w:r>
              <w:rPr>
                <w:sz w:val="21"/>
              </w:rPr>
              <w:t>1</w:t>
            </w:r>
            <w:r>
              <w:rPr>
                <w:sz w:val="21"/>
              </w:rPr>
              <w:t>分扣发当季度</w:t>
            </w:r>
            <w:r>
              <w:rPr>
                <w:sz w:val="21"/>
              </w:rPr>
              <w:t>1%</w:t>
            </w:r>
            <w:r>
              <w:rPr>
                <w:sz w:val="21"/>
              </w:rPr>
              <w:t>服务费，连续两个（或以上）季度不合格的，采购人或佛山市禅城区残疾人联合会有权解除合同。考核表内容如下：</w:t>
            </w:r>
          </w:p>
          <w:tbl>
            <w:tblPr>
              <w:tblInd w:type="dxa" w:w="120"/>
              <w:tblBorders>
                <w:top w:val="none" w:color="000000" w:sz="4"/>
                <w:left w:val="none" w:color="000000" w:sz="4"/>
                <w:bottom w:val="none" w:color="000000" w:sz="4"/>
                <w:right w:val="none" w:color="000000" w:sz="4"/>
                <w:insideH w:val="none"/>
                <w:insideV w:val="none"/>
              </w:tblBorders>
            </w:tblPr>
            <w:tblGrid>
              <w:gridCol w:w="409"/>
              <w:gridCol w:w="530"/>
              <w:gridCol w:w="1891"/>
              <w:gridCol w:w="2390"/>
              <w:gridCol w:w="378"/>
            </w:tblGrid>
            <w:tr>
              <w:tc>
                <w:tcPr>
                  <w:tcW w:type="dxa" w:w="409"/>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530"/>
                  <w:tcBorders>
                    <w:top w:val="single" w:color="000000" w:sz="4"/>
                    <w:left w:val="none" w:color="000000" w:sz="4"/>
                    <w:bottom w:val="single" w:color="000000" w:sz="4"/>
                    <w:right w:val="single" w:color="000000" w:sz="4"/>
                  </w:tcBorders>
                  <w:vAlign w:val="top"/>
                </w:tcPr>
                <w:p>
                  <w:pPr>
                    <w:jc w:val="center"/>
                  </w:pPr>
                  <w:r>
                    <w:rPr>
                      <w:b/>
                      <w:sz w:val="18"/>
                    </w:rPr>
                    <w:t>评审</w:t>
                  </w:r>
                </w:p>
              </w:tc>
              <w:tc>
                <w:tcPr>
                  <w:tcW w:type="dxa" w:w="1891"/>
                  <w:tcBorders>
                    <w:top w:val="single" w:color="000000" w:sz="4"/>
                    <w:left w:val="none" w:color="000000" w:sz="4"/>
                    <w:bottom w:val="single" w:color="000000" w:sz="4"/>
                    <w:right w:val="single" w:color="000000" w:sz="4"/>
                  </w:tcBorders>
                  <w:vAlign w:val="top"/>
                </w:tcPr>
                <w:p>
                  <w:pPr>
                    <w:jc w:val="center"/>
                  </w:pPr>
                  <w:r>
                    <w:rPr>
                      <w:b/>
                      <w:sz w:val="18"/>
                    </w:rPr>
                    <w:t>评审内容</w:t>
                  </w:r>
                </w:p>
              </w:tc>
              <w:tc>
                <w:tcPr>
                  <w:tcW w:type="dxa" w:w="2390"/>
                  <w:tcBorders>
                    <w:top w:val="single" w:color="000000" w:sz="4"/>
                    <w:left w:val="none" w:color="000000" w:sz="4"/>
                    <w:bottom w:val="single" w:color="000000" w:sz="4"/>
                    <w:right w:val="single" w:color="000000" w:sz="4"/>
                  </w:tcBorders>
                  <w:vAlign w:val="top"/>
                </w:tcPr>
                <w:p>
                  <w:pPr>
                    <w:jc w:val="center"/>
                  </w:pPr>
                  <w:r>
                    <w:rPr>
                      <w:b/>
                      <w:sz w:val="18"/>
                    </w:rPr>
                    <w:t>操作办法</w:t>
                  </w:r>
                </w:p>
              </w:tc>
              <w:tc>
                <w:tcPr>
                  <w:tcW w:type="dxa" w:w="378"/>
                  <w:tcBorders>
                    <w:top w:val="single" w:color="000000" w:sz="4"/>
                    <w:left w:val="none" w:color="000000" w:sz="4"/>
                    <w:bottom w:val="single" w:color="000000" w:sz="4"/>
                    <w:right w:val="single" w:color="000000" w:sz="4"/>
                  </w:tcBorders>
                  <w:vAlign w:val="top"/>
                </w:tcPr>
                <w:p>
                  <w:pPr>
                    <w:jc w:val="center"/>
                  </w:pPr>
                  <w:r>
                    <w:rPr>
                      <w:b/>
                      <w:sz w:val="18"/>
                    </w:rPr>
                    <w:t>分值</w:t>
                  </w:r>
                </w:p>
              </w:tc>
            </w:tr>
            <w:tr>
              <w:tc>
                <w:tcPr>
                  <w:tcW w:type="dxa" w:w="409"/>
                  <w:vMerge w:val="restart"/>
                  <w:tcBorders>
                    <w:top w:val="none" w:color="000000" w:sz="4"/>
                    <w:left w:val="single" w:color="000000" w:sz="4"/>
                    <w:bottom w:val="single" w:color="000000" w:sz="4"/>
                    <w:right w:val="single" w:color="000000" w:sz="4"/>
                  </w:tcBorders>
                  <w:vAlign w:val="top"/>
                </w:tcPr>
                <w:p>
                  <w:pPr>
                    <w:jc w:val="center"/>
                  </w:pPr>
                  <w:r>
                    <w:rPr>
                      <w:sz w:val="18"/>
                    </w:rPr>
                    <w:t>1</w:t>
                  </w:r>
                </w:p>
              </w:tc>
              <w:tc>
                <w:tcPr>
                  <w:tcW w:type="dxa" w:w="530"/>
                  <w:vMerge w:val="restart"/>
                  <w:tcBorders>
                    <w:top w:val="none" w:color="000000" w:sz="4"/>
                    <w:left w:val="none" w:color="000000" w:sz="4"/>
                    <w:bottom w:val="single" w:color="000000" w:sz="4"/>
                    <w:right w:val="single" w:color="000000" w:sz="4"/>
                  </w:tcBorders>
                  <w:vAlign w:val="top"/>
                </w:tcPr>
                <w:p>
                  <w:pPr>
                    <w:jc w:val="left"/>
                  </w:pPr>
                  <w:r>
                    <w:rPr>
                      <w:sz w:val="18"/>
                    </w:rPr>
                    <w:t>人员管理</w:t>
                  </w:r>
                </w:p>
                <w:p>
                  <w:pPr>
                    <w:jc w:val="left"/>
                  </w:pPr>
                  <w:r>
                    <w:rPr>
                      <w:sz w:val="18"/>
                    </w:rPr>
                    <w:t>（</w:t>
                  </w:r>
                  <w:r>
                    <w:rPr>
                      <w:sz w:val="18"/>
                    </w:rPr>
                    <w:t>15</w:t>
                  </w:r>
                  <w:r>
                    <w:rPr>
                      <w:sz w:val="18"/>
                    </w:rPr>
                    <w:t>分）</w:t>
                  </w:r>
                </w:p>
              </w:tc>
              <w:tc>
                <w:tcPr>
                  <w:tcW w:type="dxa" w:w="1891"/>
                  <w:tcBorders>
                    <w:top w:val="none" w:color="000000" w:sz="4"/>
                    <w:left w:val="none" w:color="000000" w:sz="4"/>
                    <w:bottom w:val="single" w:color="000000" w:sz="4"/>
                    <w:right w:val="single" w:color="000000" w:sz="4"/>
                  </w:tcBorders>
                  <w:vAlign w:val="top"/>
                </w:tcPr>
                <w:p>
                  <w:pPr>
                    <w:jc w:val="left"/>
                  </w:pPr>
                  <w:r>
                    <w:rPr>
                      <w:sz w:val="18"/>
                    </w:rPr>
                    <w:t>项目人员需持相关专业的资质证书上岗，且人数保持充足，以确保康复服务正常运作；项目人员发生调整时需至少提前</w:t>
                  </w:r>
                  <w:r>
                    <w:rPr>
                      <w:sz w:val="18"/>
                    </w:rPr>
                    <w:t>15</w:t>
                  </w:r>
                  <w:r>
                    <w:rPr>
                      <w:sz w:val="18"/>
                    </w:rPr>
                    <w:t>天以书面形式通知区佛山市禅城区残疾人联合会。</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资料分析：服务合同、项目人员花名册、项目人员调整明细表、劳动合同、工资发放表、社保记录、资质证书、康复服务记录等。</w:t>
                  </w:r>
                </w:p>
                <w:p>
                  <w:pPr>
                    <w:jc w:val="left"/>
                  </w:pPr>
                  <w:r>
                    <w:rPr>
                      <w:b/>
                      <w:sz w:val="18"/>
                    </w:rPr>
                    <w:t>按要求提供以上佐证材料，每缺一项材料，或者提供的资料不符合规定，扣</w:t>
                  </w:r>
                  <w:r>
                    <w:rPr>
                      <w:b/>
                      <w:sz w:val="18"/>
                    </w:rPr>
                    <w:t>1</w:t>
                  </w:r>
                  <w:r>
                    <w:rPr>
                      <w:b/>
                      <w:sz w:val="18"/>
                    </w:rPr>
                    <w:t>分；缺乏四项或以上的材料，本条不得分。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项目团队组织结构健全，分工明细，调配合理，岗位职责明确。</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资料分析：岗位职责说明等。</w:t>
                  </w:r>
                </w:p>
                <w:p>
                  <w:pPr>
                    <w:jc w:val="left"/>
                  </w:pPr>
                  <w:r>
                    <w:rPr>
                      <w:b/>
                      <w:sz w:val="18"/>
                    </w:rPr>
                    <w:t>项目团队有设立专职管理人员、组织结构健全，得</w:t>
                  </w:r>
                  <w:r>
                    <w:rPr>
                      <w:b/>
                      <w:sz w:val="18"/>
                    </w:rPr>
                    <w:t>1.5</w:t>
                  </w:r>
                  <w:r>
                    <w:rPr>
                      <w:b/>
                      <w:sz w:val="18"/>
                    </w:rPr>
                    <w:t>分；有明确的人员架构和岗位职责说明，得</w:t>
                  </w:r>
                  <w:r>
                    <w:rPr>
                      <w:b/>
                      <w:sz w:val="18"/>
                    </w:rPr>
                    <w:t>1.5</w:t>
                  </w:r>
                  <w:r>
                    <w:rPr>
                      <w:b/>
                      <w:sz w:val="18"/>
                    </w:rPr>
                    <w:t>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对项目人员在岗业务培训学习每月不少于</w:t>
                  </w:r>
                  <w:r>
                    <w:rPr>
                      <w:sz w:val="18"/>
                    </w:rPr>
                    <w:t>1</w:t>
                  </w:r>
                  <w:r>
                    <w:rPr>
                      <w:sz w:val="18"/>
                    </w:rPr>
                    <w:t>次。培训内容需与项目工作内容匹配、结合项目实际情况，可适当融入党建工作、残联政策等内容。</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资料分析：学习培训制度、培训内容记录、项目情况相关资料等。</w:t>
                  </w:r>
                </w:p>
                <w:p>
                  <w:pPr>
                    <w:jc w:val="left"/>
                  </w:pPr>
                  <w:r>
                    <w:rPr>
                      <w:b/>
                      <w:sz w:val="18"/>
                    </w:rPr>
                    <w:t>具有针对本项目的学习培训制度，得</w:t>
                  </w:r>
                  <w:r>
                    <w:rPr>
                      <w:b/>
                      <w:sz w:val="18"/>
                    </w:rPr>
                    <w:t>1</w:t>
                  </w:r>
                  <w:r>
                    <w:rPr>
                      <w:b/>
                      <w:sz w:val="18"/>
                    </w:rPr>
                    <w:t>分；具有完整的培训内容记录，得</w:t>
                  </w:r>
                  <w:r>
                    <w:rPr>
                      <w:b/>
                      <w:sz w:val="18"/>
                    </w:rPr>
                    <w:t>3</w:t>
                  </w:r>
                  <w:r>
                    <w:rPr>
                      <w:b/>
                      <w:sz w:val="18"/>
                    </w:rPr>
                    <w:t>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40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530"/>
                  <w:tcBorders>
                    <w:top w:val="none" w:color="000000" w:sz="4"/>
                    <w:left w:val="none" w:color="000000" w:sz="4"/>
                    <w:bottom w:val="single" w:color="000000" w:sz="4"/>
                    <w:right w:val="single" w:color="000000" w:sz="4"/>
                  </w:tcBorders>
                  <w:vAlign w:val="top"/>
                </w:tcPr>
                <w:p>
                  <w:pPr>
                    <w:jc w:val="left"/>
                  </w:pPr>
                  <w:r>
                    <w:rPr>
                      <w:sz w:val="18"/>
                    </w:rPr>
                    <w:t>制度管理</w:t>
                  </w:r>
                </w:p>
                <w:p>
                  <w:pPr>
                    <w:jc w:val="left"/>
                  </w:pPr>
                  <w:r>
                    <w:rPr>
                      <w:sz w:val="18"/>
                    </w:rPr>
                    <w:t>（</w:t>
                  </w:r>
                  <w:r>
                    <w:rPr>
                      <w:sz w:val="18"/>
                    </w:rPr>
                    <w:t>5</w:t>
                  </w:r>
                  <w:r>
                    <w:rPr>
                      <w:sz w:val="18"/>
                    </w:rPr>
                    <w:t>分）</w:t>
                  </w:r>
                </w:p>
              </w:tc>
              <w:tc>
                <w:tcPr>
                  <w:tcW w:type="dxa" w:w="1891"/>
                  <w:tcBorders>
                    <w:top w:val="none" w:color="000000" w:sz="4"/>
                    <w:left w:val="none" w:color="000000" w:sz="4"/>
                    <w:bottom w:val="single" w:color="000000" w:sz="4"/>
                    <w:right w:val="single" w:color="000000" w:sz="4"/>
                  </w:tcBorders>
                  <w:vAlign w:val="top"/>
                </w:tcPr>
                <w:p>
                  <w:pPr>
                    <w:jc w:val="left"/>
                  </w:pPr>
                  <w:r>
                    <w:rPr>
                      <w:sz w:val="18"/>
                    </w:rPr>
                    <w:t>建立和健全服务质量管理制度、人员问责和奖惩制度、项目应急预案、项目结算资料管理监督机制、残疾人功能恢复评定机制、康复训练常规和技术操作流程、服务对象权益保障制度等，并落实执行。</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资料分析：服务质量管理制度、问责奖惩制度、项目风险评估报告，项目风险应急预案、残疾人功能恢复评定机制、康复训练常规和技术操作流程、服务对象权益保障制度等；</w:t>
                  </w:r>
                  <w:r>
                    <w:br/>
                  </w:r>
                  <w:r>
                    <w:rPr>
                      <w:sz w:val="18"/>
                    </w:rPr>
                    <w:t>个别访谈：员工、服务对象。</w:t>
                  </w:r>
                </w:p>
                <w:p>
                  <w:pPr>
                    <w:jc w:val="left"/>
                  </w:pPr>
                  <w:r>
                    <w:rPr>
                      <w:b/>
                      <w:sz w:val="18"/>
                    </w:rPr>
                    <w:t>按要求提供相应的制度文本、资料，并了解各项制度落实执行情况，视执行情况酌情评分。</w:t>
                  </w:r>
                </w:p>
                <w:p>
                  <w:pPr>
                    <w:jc w:val="left"/>
                  </w:pPr>
                  <w:r>
                    <w:rPr>
                      <w:b/>
                      <w:sz w:val="18"/>
                    </w:rPr>
                    <w:t>每缺一项材料，或者提供的资料不符合项目规定，扣</w:t>
                  </w:r>
                  <w:r>
                    <w:rPr>
                      <w:b/>
                      <w:sz w:val="18"/>
                    </w:rPr>
                    <w:t>1</w:t>
                  </w:r>
                  <w:r>
                    <w:rPr>
                      <w:b/>
                      <w:sz w:val="18"/>
                    </w:rPr>
                    <w:t>分；缺乏四项或以上的材料，本条不得分。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5</w:t>
                  </w:r>
                </w:p>
              </w:tc>
            </w:tr>
            <w:tr>
              <w:tc>
                <w:tcPr>
                  <w:tcW w:type="dxa" w:w="409"/>
                  <w:vMerge w:val="restart"/>
                  <w:tcBorders>
                    <w:top w:val="none" w:color="000000" w:sz="4"/>
                    <w:left w:val="single" w:color="000000" w:sz="4"/>
                    <w:bottom w:val="single" w:color="000000" w:sz="4"/>
                    <w:right w:val="single" w:color="000000" w:sz="4"/>
                  </w:tcBorders>
                  <w:vAlign w:val="top"/>
                </w:tcPr>
                <w:p>
                  <w:pPr>
                    <w:jc w:val="center"/>
                  </w:pPr>
                  <w:r>
                    <w:rPr>
                      <w:sz w:val="18"/>
                    </w:rPr>
                    <w:t>3</w:t>
                  </w:r>
                </w:p>
              </w:tc>
              <w:tc>
                <w:tcPr>
                  <w:tcW w:type="dxa" w:w="530"/>
                  <w:vMerge w:val="restart"/>
                  <w:tcBorders>
                    <w:top w:val="none" w:color="000000" w:sz="4"/>
                    <w:left w:val="none" w:color="000000" w:sz="4"/>
                    <w:bottom w:val="single" w:color="000000" w:sz="4"/>
                    <w:right w:val="single" w:color="000000" w:sz="4"/>
                  </w:tcBorders>
                  <w:vAlign w:val="top"/>
                </w:tcPr>
                <w:p>
                  <w:pPr>
                    <w:jc w:val="left"/>
                  </w:pPr>
                  <w:r>
                    <w:rPr>
                      <w:sz w:val="18"/>
                    </w:rPr>
                    <w:t>服务管理</w:t>
                  </w:r>
                </w:p>
                <w:p>
                  <w:pPr>
                    <w:jc w:val="left"/>
                  </w:pPr>
                  <w:r>
                    <w:rPr>
                      <w:sz w:val="18"/>
                    </w:rPr>
                    <w:t>（</w:t>
                  </w:r>
                  <w:r>
                    <w:rPr>
                      <w:sz w:val="18"/>
                    </w:rPr>
                    <w:t>30</w:t>
                  </w:r>
                  <w:r>
                    <w:rPr>
                      <w:sz w:val="18"/>
                    </w:rPr>
                    <w:t>分）</w:t>
                  </w:r>
                </w:p>
              </w:tc>
              <w:tc>
                <w:tcPr>
                  <w:tcW w:type="dxa" w:w="1891"/>
                  <w:tcBorders>
                    <w:top w:val="none" w:color="000000" w:sz="4"/>
                    <w:left w:val="none" w:color="000000" w:sz="4"/>
                    <w:bottom w:val="single" w:color="000000" w:sz="4"/>
                    <w:right w:val="single" w:color="000000" w:sz="4"/>
                  </w:tcBorders>
                  <w:vAlign w:val="top"/>
                </w:tcPr>
                <w:p>
                  <w:pPr>
                    <w:jc w:val="left"/>
                  </w:pPr>
                  <w:r>
                    <w:rPr>
                      <w:sz w:val="18"/>
                    </w:rPr>
                    <w:t>按照服务质量管理制度，项目团队关于优化项目管理的交流会议每月不少于一次，相关内容及时与购买方沟通。</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资料分析：服务质量管理制度、沟通会议记录、后续执行等相关痕迹资料；</w:t>
                  </w:r>
                </w:p>
                <w:p>
                  <w:pPr>
                    <w:jc w:val="left"/>
                  </w:pPr>
                  <w:r>
                    <w:rPr>
                      <w:sz w:val="18"/>
                    </w:rPr>
                    <w:t>个别访谈</w:t>
                  </w:r>
                  <w:r>
                    <w:rPr>
                      <w:sz w:val="18"/>
                    </w:rPr>
                    <w:t>:</w:t>
                  </w:r>
                  <w:r>
                    <w:rPr>
                      <w:sz w:val="18"/>
                    </w:rPr>
                    <w:t>工作人员。</w:t>
                  </w:r>
                </w:p>
                <w:p>
                  <w:pPr>
                    <w:jc w:val="left"/>
                  </w:pPr>
                  <w:r>
                    <w:rPr>
                      <w:b/>
                      <w:sz w:val="18"/>
                    </w:rPr>
                    <w:t>建立服务质量管理制度并有相关的制度执行记录，每月开展不少于一次的交流会议，并有完整的沟通会议记录，得</w:t>
                  </w:r>
                  <w:r>
                    <w:rPr>
                      <w:b/>
                      <w:sz w:val="18"/>
                    </w:rPr>
                    <w:t>2</w:t>
                  </w:r>
                  <w:r>
                    <w:rPr>
                      <w:b/>
                      <w:sz w:val="18"/>
                    </w:rPr>
                    <w:t>分；有相关的后续跟进记录，得</w:t>
                  </w:r>
                  <w:r>
                    <w:rPr>
                      <w:b/>
                      <w:sz w:val="18"/>
                    </w:rPr>
                    <w:t>2</w:t>
                  </w:r>
                  <w:r>
                    <w:rPr>
                      <w:b/>
                      <w:sz w:val="18"/>
                    </w:rPr>
                    <w:t>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服务套表的记录内容必须做到严谨规范、原始真实、全面清晰，不得随意涂改，团队内部设立专人管理、监督，根据项目情况的变化持续更新、及时纠正。</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资料查阅：服务对象花名册、功能恢复评定记录、康复训练档案、康复服务记录表、服务情况统计表等。</w:t>
                  </w:r>
                </w:p>
                <w:p>
                  <w:pPr>
                    <w:jc w:val="left"/>
                  </w:pPr>
                  <w:r>
                    <w:rPr>
                      <w:b/>
                      <w:sz w:val="18"/>
                    </w:rPr>
                    <w:t>按要求提供相关的服务材料，缺一项扣</w:t>
                  </w:r>
                  <w:r>
                    <w:rPr>
                      <w:b/>
                      <w:sz w:val="18"/>
                    </w:rPr>
                    <w:t>1</w:t>
                  </w:r>
                  <w:r>
                    <w:rPr>
                      <w:b/>
                      <w:sz w:val="18"/>
                    </w:rPr>
                    <w:t>分；如出现分类不清晰，归档不及时或服务数据呈现不清晰，服务档案不完整、涂改等，酌情扣分；康复服务记录表、服务情况统计表如有造假，本条不得分。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康复训练设施、设备、包括康复评估设备和康复训练器材齐全，并能根据需求维护或更新。</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资料查阅、现场查阅、工作人员访谈。</w:t>
                  </w:r>
                </w:p>
                <w:p>
                  <w:pPr>
                    <w:jc w:val="left"/>
                  </w:pPr>
                  <w:r>
                    <w:rPr>
                      <w:b/>
                      <w:sz w:val="18"/>
                    </w:rPr>
                    <w:t>设备齐全，得</w:t>
                  </w:r>
                  <w:r>
                    <w:rPr>
                      <w:b/>
                      <w:sz w:val="18"/>
                    </w:rPr>
                    <w:t>1.5</w:t>
                  </w:r>
                  <w:r>
                    <w:rPr>
                      <w:b/>
                      <w:sz w:val="18"/>
                    </w:rPr>
                    <w:t>分；有相应的维护或更新记录，得</w:t>
                  </w:r>
                  <w:r>
                    <w:rPr>
                      <w:b/>
                      <w:sz w:val="18"/>
                    </w:rPr>
                    <w:t>1.5</w:t>
                  </w:r>
                  <w:r>
                    <w:rPr>
                      <w:b/>
                      <w:sz w:val="18"/>
                    </w:rPr>
                    <w:t>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按照项目评估时限提交相关服务资料，项目评估结果以及实际服务情况统计表作为结算依据（服务资料不得造假，如发现造假，将一次性扣除</w:t>
                  </w:r>
                  <w:r>
                    <w:rPr>
                      <w:sz w:val="18"/>
                    </w:rPr>
                    <w:t>15</w:t>
                  </w:r>
                  <w:r>
                    <w:rPr>
                      <w:sz w:val="18"/>
                    </w:rPr>
                    <w:t>分。）</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资料分析：康复服务记录表、服务情况统计表等。</w:t>
                  </w:r>
                </w:p>
                <w:p>
                  <w:pPr>
                    <w:jc w:val="left"/>
                  </w:pPr>
                  <w:r>
                    <w:rPr>
                      <w:b/>
                      <w:sz w:val="18"/>
                    </w:rPr>
                    <w:t>未按要求提供真实有效的服务资料或发现资料造假，本条不得分。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15</w:t>
                  </w:r>
                </w:p>
              </w:tc>
            </w:tr>
            <w:tr>
              <w:tc>
                <w:tcPr>
                  <w:tcW w:type="dxa" w:w="409"/>
                  <w:vMerge w:val="restart"/>
                  <w:tcBorders>
                    <w:top w:val="none" w:color="000000" w:sz="4"/>
                    <w:left w:val="single" w:color="000000" w:sz="4"/>
                    <w:bottom w:val="single" w:color="000000" w:sz="4"/>
                    <w:right w:val="single" w:color="000000" w:sz="4"/>
                  </w:tcBorders>
                  <w:vAlign w:val="top"/>
                </w:tcPr>
                <w:p>
                  <w:pPr>
                    <w:jc w:val="center"/>
                  </w:pPr>
                  <w:r>
                    <w:rPr>
                      <w:sz w:val="18"/>
                    </w:rPr>
                    <w:t>4</w:t>
                  </w:r>
                </w:p>
              </w:tc>
              <w:tc>
                <w:tcPr>
                  <w:tcW w:type="dxa" w:w="530"/>
                  <w:vMerge w:val="restart"/>
                  <w:tcBorders>
                    <w:top w:val="none" w:color="000000" w:sz="4"/>
                    <w:left w:val="none" w:color="000000" w:sz="4"/>
                    <w:bottom w:val="single" w:color="000000" w:sz="4"/>
                    <w:right w:val="single" w:color="000000" w:sz="4"/>
                  </w:tcBorders>
                  <w:vAlign w:val="top"/>
                </w:tcPr>
                <w:p>
                  <w:pPr>
                    <w:jc w:val="left"/>
                  </w:pPr>
                  <w:r>
                    <w:rPr>
                      <w:sz w:val="18"/>
                    </w:rPr>
                    <w:t>服务执行</w:t>
                  </w:r>
                </w:p>
                <w:p>
                  <w:pPr>
                    <w:jc w:val="left"/>
                  </w:pPr>
                  <w:r>
                    <w:rPr>
                      <w:sz w:val="18"/>
                    </w:rPr>
                    <w:t>（</w:t>
                  </w:r>
                  <w:r>
                    <w:rPr>
                      <w:sz w:val="18"/>
                    </w:rPr>
                    <w:t>25</w:t>
                  </w:r>
                  <w:r>
                    <w:rPr>
                      <w:sz w:val="18"/>
                    </w:rPr>
                    <w:t>分）</w:t>
                  </w:r>
                </w:p>
              </w:tc>
              <w:tc>
                <w:tcPr>
                  <w:tcW w:type="dxa" w:w="1891"/>
                  <w:tcBorders>
                    <w:top w:val="none" w:color="000000" w:sz="4"/>
                    <w:left w:val="none" w:color="000000" w:sz="4"/>
                    <w:bottom w:val="single" w:color="000000" w:sz="4"/>
                    <w:right w:val="single" w:color="000000" w:sz="4"/>
                  </w:tcBorders>
                  <w:vAlign w:val="top"/>
                </w:tcPr>
                <w:p>
                  <w:pPr>
                    <w:jc w:val="left"/>
                  </w:pPr>
                  <w:r>
                    <w:rPr>
                      <w:sz w:val="18"/>
                    </w:rPr>
                    <w:t>项目人员按照康复训练常规和技术操作流程规范操作。</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资料查阅：康复训练常规和技术操作流程、抽查服务资料记录对应操作流程的规范性。</w:t>
                  </w:r>
                </w:p>
                <w:p>
                  <w:pPr>
                    <w:jc w:val="left"/>
                  </w:pPr>
                  <w:r>
                    <w:rPr>
                      <w:b/>
                      <w:sz w:val="18"/>
                    </w:rPr>
                    <w:t>按操作规范程度酌情评分。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2</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每季度对服务对象的康复效果进行评估，并形成完整的评估分析记录及统计分析报告，对康复服务进行分层分类，按需求制定适合服务对象的康复训练计划。</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资料查阅：康复服务评估档案，评估分析记录、统计分析报告、服务对象康复训练计划；</w:t>
                  </w:r>
                </w:p>
                <w:p>
                  <w:pPr>
                    <w:jc w:val="left"/>
                  </w:pPr>
                  <w:r>
                    <w:rPr>
                      <w:sz w:val="18"/>
                    </w:rPr>
                    <w:t>服务对象访谈：康复训练计划的适切性。</w:t>
                  </w:r>
                </w:p>
                <w:p>
                  <w:pPr>
                    <w:jc w:val="left"/>
                  </w:pPr>
                  <w:r>
                    <w:rPr>
                      <w:b/>
                      <w:sz w:val="18"/>
                    </w:rPr>
                    <w:t>根据访谈和资料分析酌情评分。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根据中标（成交）时的服务实施方案，落实相关服务内容和要求。</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资料查阅、服务对象或家属访谈。</w:t>
                  </w:r>
                </w:p>
                <w:p>
                  <w:pPr>
                    <w:jc w:val="left"/>
                  </w:pPr>
                  <w:r>
                    <w:rPr>
                      <w:b/>
                      <w:sz w:val="18"/>
                    </w:rPr>
                    <w:t>根据访谈和资料分析酌情评分。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根据合同规定，每月进行康复训练、康复护理服务不少于</w:t>
                  </w:r>
                  <w:r>
                    <w:rPr>
                      <w:sz w:val="18"/>
                    </w:rPr>
                    <w:t>6</w:t>
                  </w:r>
                  <w:r>
                    <w:rPr>
                      <w:sz w:val="18"/>
                    </w:rPr>
                    <w:t>次，每次不少于</w:t>
                  </w:r>
                  <w:r>
                    <w:rPr>
                      <w:sz w:val="18"/>
                    </w:rPr>
                    <w:t>1</w:t>
                  </w:r>
                  <w:r>
                    <w:rPr>
                      <w:sz w:val="18"/>
                    </w:rPr>
                    <w:t>小时。</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资料查阅：康复训练档案、康复服务记录表、服务情况统计表；</w:t>
                  </w:r>
                </w:p>
                <w:p>
                  <w:pPr>
                    <w:jc w:val="left"/>
                  </w:pPr>
                  <w:r>
                    <w:rPr>
                      <w:sz w:val="18"/>
                    </w:rPr>
                    <w:t>服务对象访谈：康复训练的内容、次数。</w:t>
                  </w:r>
                </w:p>
                <w:p>
                  <w:pPr>
                    <w:jc w:val="left"/>
                  </w:pPr>
                  <w:r>
                    <w:rPr>
                      <w:b/>
                      <w:sz w:val="18"/>
                    </w:rPr>
                    <w:t>根据访谈和资料分析，综合评分。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康复知识普及，每季度不少于</w:t>
                  </w:r>
                  <w:r>
                    <w:rPr>
                      <w:sz w:val="18"/>
                    </w:rPr>
                    <w:t>1</w:t>
                  </w:r>
                  <w:r>
                    <w:rPr>
                      <w:sz w:val="18"/>
                    </w:rPr>
                    <w:t>次。</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资料查阅：康复训练档案等服务资料；</w:t>
                  </w:r>
                </w:p>
                <w:p>
                  <w:pPr>
                    <w:jc w:val="left"/>
                  </w:pPr>
                  <w:r>
                    <w:rPr>
                      <w:sz w:val="18"/>
                    </w:rPr>
                    <w:t>服务对象家属访谈：康复知识普及的内容、频率。</w:t>
                  </w:r>
                </w:p>
                <w:p>
                  <w:pPr>
                    <w:jc w:val="left"/>
                  </w:pPr>
                  <w:r>
                    <w:rPr>
                      <w:b/>
                      <w:sz w:val="18"/>
                    </w:rPr>
                    <w:t>根据康复训练资料和访谈的匹配度，综合评分。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409"/>
                  <w:vMerge w:val="restart"/>
                  <w:tcBorders>
                    <w:top w:val="none" w:color="000000" w:sz="4"/>
                    <w:left w:val="single" w:color="000000" w:sz="4"/>
                    <w:bottom w:val="single" w:color="000000" w:sz="4"/>
                    <w:right w:val="single" w:color="000000" w:sz="4"/>
                  </w:tcBorders>
                  <w:vAlign w:val="top"/>
                </w:tcPr>
                <w:p>
                  <w:pPr>
                    <w:jc w:val="center"/>
                  </w:pPr>
                  <w:r>
                    <w:rPr>
                      <w:sz w:val="18"/>
                    </w:rPr>
                    <w:t>5</w:t>
                  </w:r>
                </w:p>
              </w:tc>
              <w:tc>
                <w:tcPr>
                  <w:tcW w:type="dxa" w:w="530"/>
                  <w:vMerge w:val="restart"/>
                  <w:tcBorders>
                    <w:top w:val="none" w:color="000000" w:sz="4"/>
                    <w:left w:val="none" w:color="000000" w:sz="4"/>
                    <w:bottom w:val="single" w:color="000000" w:sz="4"/>
                    <w:right w:val="single" w:color="000000" w:sz="4"/>
                  </w:tcBorders>
                  <w:vAlign w:val="top"/>
                </w:tcPr>
                <w:p>
                  <w:pPr>
                    <w:jc w:val="left"/>
                  </w:pPr>
                  <w:r>
                    <w:rPr>
                      <w:sz w:val="18"/>
                    </w:rPr>
                    <w:t>服务成效</w:t>
                  </w:r>
                </w:p>
                <w:p>
                  <w:pPr>
                    <w:jc w:val="left"/>
                  </w:pPr>
                  <w:r>
                    <w:rPr>
                      <w:sz w:val="18"/>
                    </w:rPr>
                    <w:t>（</w:t>
                  </w:r>
                  <w:r>
                    <w:rPr>
                      <w:sz w:val="18"/>
                    </w:rPr>
                    <w:t>25</w:t>
                  </w:r>
                  <w:r>
                    <w:rPr>
                      <w:sz w:val="18"/>
                    </w:rPr>
                    <w:t>分）</w:t>
                  </w:r>
                </w:p>
              </w:tc>
              <w:tc>
                <w:tcPr>
                  <w:tcW w:type="dxa" w:w="1891"/>
                  <w:tcBorders>
                    <w:top w:val="none" w:color="000000" w:sz="4"/>
                    <w:left w:val="none" w:color="000000" w:sz="4"/>
                    <w:bottom w:val="single" w:color="000000" w:sz="4"/>
                    <w:right w:val="single" w:color="000000" w:sz="4"/>
                  </w:tcBorders>
                  <w:vAlign w:val="top"/>
                </w:tcPr>
                <w:p>
                  <w:pPr>
                    <w:jc w:val="left"/>
                  </w:pPr>
                  <w:r>
                    <w:rPr>
                      <w:sz w:val="18"/>
                    </w:rPr>
                    <w:t>每季度不少于一篇关于居家康复的事迹报道或典型案例。</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资料查阅：相关报道资料等。</w:t>
                  </w:r>
                </w:p>
                <w:p>
                  <w:pPr>
                    <w:jc w:val="left"/>
                  </w:pPr>
                  <w:r>
                    <w:rPr>
                      <w:b/>
                      <w:sz w:val="18"/>
                    </w:rPr>
                    <w:t>有相关报道或案例资料，得</w:t>
                  </w:r>
                  <w:r>
                    <w:rPr>
                      <w:b/>
                      <w:sz w:val="18"/>
                    </w:rPr>
                    <w:t>2</w:t>
                  </w:r>
                  <w:r>
                    <w:rPr>
                      <w:b/>
                      <w:sz w:val="18"/>
                    </w:rPr>
                    <w:t>分；内容真实具有代表性，得</w:t>
                  </w:r>
                  <w:r>
                    <w:rPr>
                      <w:b/>
                      <w:sz w:val="18"/>
                    </w:rPr>
                    <w:t>2</w:t>
                  </w:r>
                  <w:r>
                    <w:rPr>
                      <w:b/>
                      <w:sz w:val="18"/>
                    </w:rPr>
                    <w:t>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服务成效统计：服务对象的残疾程度、日常生活自理能力、并发症等发生与消除的统计，数据对比，原因分析。</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资料查阅：相关统计资料，康复训练档案等，服务对象访谈。</w:t>
                  </w:r>
                </w:p>
                <w:p>
                  <w:pPr>
                    <w:jc w:val="left"/>
                  </w:pPr>
                  <w:r>
                    <w:rPr>
                      <w:b/>
                      <w:sz w:val="18"/>
                    </w:rPr>
                    <w:t>根据访谈和资料分析，综合评分。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6</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对服务对象维持或改善情况的持续性关注及评估，相应调整康复训练计划并落实。</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资料查阅：康复服务评估档案、康复训练档案；</w:t>
                  </w:r>
                  <w:r>
                    <w:br/>
                  </w:r>
                  <w:r>
                    <w:rPr>
                      <w:sz w:val="18"/>
                    </w:rPr>
                    <w:t>服务对象访谈。</w:t>
                  </w:r>
                </w:p>
                <w:p>
                  <w:pPr>
                    <w:jc w:val="left"/>
                  </w:pPr>
                  <w:r>
                    <w:rPr>
                      <w:b/>
                      <w:sz w:val="18"/>
                    </w:rPr>
                    <w:t>根据访谈和资料分析，综合评分。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关注社会影响力的塑造，如链接多方资源，帮助推动更多社会参与或加强社会影响力。</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资料查阅：项目宣传资料等。</w:t>
                  </w:r>
                </w:p>
                <w:p>
                  <w:pPr>
                    <w:jc w:val="left"/>
                  </w:pPr>
                  <w:r>
                    <w:rPr>
                      <w:b/>
                      <w:sz w:val="18"/>
                    </w:rPr>
                    <w:t>根据相应的项目宣传材料，资源链接汇总表，新闻报道等材料，酌情评分。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抽查服务对象电访康复服务情况，了解康复机构是否做足服务次数和时数，是否有康复指引和存在意见。</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资料查阅：服务对象访谈（每次评估抽取</w:t>
                  </w:r>
                  <w:r>
                    <w:rPr>
                      <w:sz w:val="18"/>
                    </w:rPr>
                    <w:t>20%</w:t>
                  </w:r>
                  <w:r>
                    <w:rPr>
                      <w:sz w:val="18"/>
                    </w:rPr>
                    <w:t>的服务对象，不重复抽取）。</w:t>
                  </w:r>
                </w:p>
                <w:p>
                  <w:pPr>
                    <w:jc w:val="left"/>
                  </w:pPr>
                  <w:r>
                    <w:rPr>
                      <w:b/>
                      <w:sz w:val="18"/>
                    </w:rPr>
                    <w:t>根据访谈结果酌情评分。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5220"/>
                  <w:gridSpan w:val="4"/>
                  <w:tcBorders>
                    <w:top w:val="none" w:color="000000" w:sz="4"/>
                    <w:left w:val="single" w:color="000000" w:sz="4"/>
                    <w:bottom w:val="single" w:color="000000" w:sz="4"/>
                    <w:right w:val="single" w:color="000000" w:sz="4"/>
                  </w:tcBorders>
                  <w:vAlign w:val="top"/>
                </w:tcPr>
                <w:p>
                  <w:pPr>
                    <w:jc w:val="center"/>
                  </w:pPr>
                  <w:r>
                    <w:rPr>
                      <w:sz w:val="18"/>
                    </w:rPr>
                    <w:t>总得分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100</w:t>
                  </w:r>
                </w:p>
              </w:tc>
            </w:tr>
          </w:tbl>
          <w:p>
            <w:pPr>
              <w:jc w:val="both"/>
            </w:pPr>
          </w:p>
          <w:p>
            <w:pPr>
              <w:jc w:val="both"/>
            </w:pPr>
            <w:r>
              <w:rPr>
                <w:sz w:val="21"/>
              </w:rPr>
              <w:t>注：上述考评项目和内容采购人可根据实际情况适当调整。</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r>
        <w:rPr>
          <w:b/>
          <w:sz w:val="36"/>
        </w:rPr>
        <w:t>第三章 供应商须知</w:t>
      </w:r>
    </w:p>
    <w:p>
      <w:pPr>
        <w:ind w:firstLine="480"/>
      </w:pPr>
      <w:r>
        <w:rPr/>
        <w:t>供应商必须认真阅读谈判文件中所有的事项、格式、条款和采购需求等。供应商没有按照谈判文件要求提交全部资料，或者响应文件没有对谈判文件在各方面都做出实质性响应的可能导致其响应无效或被拒绝。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1.采购代理机构：本项目是指佛山市信悦咨询有限公司，负责整个采购活动的组织，依法负责编制和发布谈判文件，对谈判文件拥有最终的解释权，不以任何身份出任谈判小组成员。</w:t>
      </w:r>
    </w:p>
    <w:p>
      <w:pPr>
        <w:ind w:firstLine="480"/>
      </w:pPr>
      <w:r>
        <w:rPr/>
        <w:t>2.采购人：本项目是指</w:t>
      </w:r>
      <w:r>
        <w:rPr/>
        <w:t>佛山市禅城区民政局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4.“谈判小组”是指根据《中华人民共和国政府采购法》等法律法规规定，由采购人代表和有关专家组成以确定成交供应商或者推荐成交候选供应商的临时组织。</w:t>
      </w:r>
    </w:p>
    <w:p>
      <w:pPr>
        <w:ind w:firstLine="480"/>
      </w:pPr>
      <w:r>
        <w:rPr/>
        <w:t>5.“成交供应商”是指经谈判小组评审确定的对谈判文件做出实质性响应，经采购人按照规定在谈判小组推荐的成交候选供应商中确定的或谈判小组受采购人委托直接确认的供应商。</w:t>
      </w:r>
    </w:p>
    <w:p>
      <w:pPr>
        <w:ind w:firstLine="480"/>
      </w:pPr>
      <w:r>
        <w:rPr/>
        <w:t>6.谈判文件：是指包括谈判公告和谈判文件及其补充、变更和澄清等一系列文件。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本表与谈判文件对应章节的内容若不一致，以本表为准。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p>
        </w:tc>
      </w:tr>
      <w:tr>
        <w:tc>
          <w:tcPr>
            <w:tcW w:type="dxa" w:w="1051"/>
          </w:tcPr>
          <w:p>
            <w:pPr>
              <w:jc w:val="center"/>
            </w:pPr>
            <w:r>
              <w:rPr/>
              <w:t>4</w:t>
            </w:r>
          </w:p>
        </w:tc>
        <w:tc>
          <w:tcPr>
            <w:tcW w:type="dxa" w:w="2252"/>
          </w:tcPr>
          <w:p>
            <w:r>
              <w:rPr/>
              <w:t>评审办法</w:t>
            </w:r>
          </w:p>
        </w:tc>
        <w:tc>
          <w:tcPr>
            <w:tcW w:type="dxa" w:w="5004"/>
          </w:tcPr>
          <w:p>
            <w:r>
              <w:rPr/>
              <w:t>采购包1：最低评标价法</w:t>
            </w:r>
          </w:p>
        </w:tc>
      </w:tr>
      <w:tr>
        <w:tc>
          <w:tcPr>
            <w:tcW w:type="dxa" w:w="1051"/>
          </w:tcPr>
          <w:p>
            <w:pPr>
              <w:jc w:val="center"/>
            </w:pPr>
            <w:r>
              <w:rPr/>
              <w:t>5</w:t>
            </w:r>
          </w:p>
        </w:tc>
        <w:tc>
          <w:tcPr>
            <w:tcW w:type="dxa" w:w="2252"/>
          </w:tcPr>
          <w:p>
            <w:r>
              <w:rPr/>
              <w:t>报价形式</w:t>
            </w:r>
          </w:p>
        </w:tc>
        <w:tc>
          <w:tcPr>
            <w:tcW w:type="dxa" w:w="5004"/>
          </w:tcPr>
          <w:p/>
          <w:p>
            <w:r>
              <w:rPr/>
              <w:t>采购包1：单价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Pr>
              <w:ind w:firstLine="480"/>
            </w:pPr>
          </w:p>
          <w:p>
            <w:pPr>
              <w:jc w:val="left"/>
            </w:pPr>
          </w:p>
          <w:p>
            <w:r>
              <w:rPr/>
              <w:t>采购包1：2家</w:t>
            </w:r>
          </w:p>
          <w:p/>
          <w:p>
            <w:pPr>
              <w:ind w:firstLine="480"/>
            </w:pPr>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14</w:t>
            </w:r>
          </w:p>
        </w:tc>
        <w:tc>
          <w:tcPr>
            <w:tcW w:type="dxa" w:w="2252"/>
          </w:tcPr>
          <w:p>
            <w:r>
              <w:rPr/>
              <w:t>兼投不兼中（兼投不兼中）规则</w:t>
            </w:r>
          </w:p>
        </w:tc>
        <w:tc>
          <w:tcPr>
            <w:tcW w:type="dxa" w:w="5004"/>
          </w:tcPr>
          <w:p>
            <w:r>
              <w:rPr/>
              <w:t>无：-</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以中标（成交）通知书中的成交金额作为招标代理服务费的计算基数（如成交金额仅体现单价的，以项目整体预算金额作为招标代理服务费的计算基数），招标代理服务费收费采用差额定率累进法计算方式。按中华人民共和国国家发展计划委员会颁发的计价格[2002]1980号文《招标代理服务收费管理暂行办法》及国家发改委[2003]857号及发改价格[2011]534号文件中规定的“服务类”计费标准计费。</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1，如竞争性谈判公告与竞争性谈判文件同一内容描述不一致的，以竞争性谈判文件为准。</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jc w:val="left"/>
            </w:pPr>
            <w:r>
              <w:rPr/>
              <w:t>4，本竞争性谈判文件内要求的扫描件或复印件，可以是原件的扫描件，也可以是复印件的扫描件。扫描件性质上可视为复印件。</w:t>
            </w:r>
          </w:p>
          <w:p>
            <w:pPr>
              <w:jc w:val="left"/>
            </w:pPr>
            <w:r>
              <w:rPr/>
              <w:t>5，因电子标系统相对固化，竞争性谈判文件内有关专门面向中小企业采购情况描述不一致的，应以竞争性谈判文件第一章《谈判邀请》“二.供应商的资格要求”中“2.落实政府采购政策需满足的资格要求”的各采购包中小微企业面向情况为准。</w:t>
            </w:r>
          </w:p>
          <w:p>
            <w:pPr>
              <w:jc w:val="left"/>
            </w:pPr>
            <w:r>
              <w:rPr/>
              <w:t>6，因电子标系统相对固化，《政府采购供应商资格信用承诺函》格式详见竞争性谈判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谈判文件依据《中华人民共和国政府采购法》、《中华人民共和国政府采购法实施条例》（国务院令第658号）和《政府采购非招标采购方式管理办法》（财政部令第74号）及国家和广东省有关法律、法规、规章制度编制。</w:t>
      </w:r>
    </w:p>
    <w:p>
      <w:pPr>
        <w:ind w:firstLine="480"/>
      </w:pPr>
      <w:r>
        <w:rPr/>
        <w:t>供应商应仔细阅读本项目信息公告及谈判文件的所有内容（包括变更、补充、澄清以及修改等，且均为谈判文件的组成部分），按照谈判文件要求以及格式编制响应文件，并保证其真实性，否则一切后果自负。</w:t>
      </w:r>
    </w:p>
    <w:p>
      <w:pPr>
        <w:ind w:firstLine="480"/>
      </w:pPr>
      <w:r>
        <w:rPr/>
        <w:t>本次竞争性谈判项目，是以谈判公告的方式邀请非特定的供应商参加谈判。</w:t>
      </w:r>
    </w:p>
    <w:p>
      <w:r>
        <w:rPr>
          <w:b/>
          <w:sz w:val="24"/>
        </w:rPr>
        <w:t>2.适用范围</w:t>
      </w:r>
    </w:p>
    <w:p>
      <w:pPr>
        <w:ind w:firstLine="480"/>
      </w:pPr>
      <w:r>
        <w:rPr/>
        <w:t>本谈判文件仅适用于本次谈判公告中所涉及的项目和内容。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4.谈判的费用</w:t>
      </w:r>
    </w:p>
    <w:p>
      <w:pPr>
        <w:ind w:firstLine="480"/>
      </w:pPr>
      <w:r>
        <w:rPr/>
        <w:t>不论谈判结果如何，供应商应承担所有与准备和参加谈判有关的费用。采购代理机构和采购人均无义务和责任承担相关费用。</w:t>
      </w:r>
    </w:p>
    <w:p>
      <w:r>
        <w:rPr>
          <w:b/>
          <w:sz w:val="24"/>
        </w:rPr>
        <w:t>5.以联合体形式参加谈判的，应符合以下规定：</w:t>
      </w:r>
    </w:p>
    <w:p>
      <w:pPr>
        <w:ind w:firstLine="480"/>
      </w:pPr>
      <w:r>
        <w:rPr/>
        <w:t>5.1 联合体各方均应当满足《中华人民共和国政府采购法》第二十二条规定的条件，并在响应文件中提供联合体各方的相关证明材料。</w:t>
      </w:r>
    </w:p>
    <w:p>
      <w:pPr>
        <w:ind w:firstLine="480"/>
      </w:pPr>
      <w:r>
        <w:rPr/>
        <w:t>5.2</w:t>
        <w:tab/>
        <w:tab/>
        <w:t xml:space="preserve">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w:t>
        <w:tab/>
        <w:tab/>
        <w:t xml:space="preserve">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 联合体成员存在不良信用记录的，视同联合体存在不良信用记录。</w:t>
      </w:r>
    </w:p>
    <w:p>
      <w:pPr>
        <w:ind w:firstLine="480"/>
      </w:pPr>
      <w:r>
        <w:rP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 联合体各方应当共同与采购人签订采购合同，就合同约定的事项对采购人承担连带责任。</w:t>
      </w:r>
    </w:p>
    <w:p>
      <w:r>
        <w:rPr>
          <w:b/>
          <w:sz w:val="24"/>
        </w:rPr>
        <w:t>6.关联企业响应说明</w:t>
      </w:r>
    </w:p>
    <w:p>
      <w:pPr>
        <w:ind w:firstLine="480"/>
      </w:pPr>
      <w:r>
        <w:rPr/>
        <w:t>6.1</w:t>
        <w:tab/>
        <w:tab/>
        <w:t xml:space="preserve"> 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w:t>
        <w:tab/>
        <w:tab/>
        <w:t xml:space="preserve">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8.1供应商不得相互串通响应报价，不得妨碍其他供应商的公平竞争，不得损害采购人或其他供应商的合法权益，供应商不得以向采购人、谈判小组成员行贿或者采取其他不正当手段谋取成交。</w:t>
      </w:r>
    </w:p>
    <w:p>
      <w:pPr>
        <w:ind w:firstLine="480"/>
      </w:pPr>
      <w:r>
        <w:rPr/>
        <w:t>8.2供应商不得与采购人就响应价格、响应方案等实质性内容进行谈判，也不得私下接触谈判小组成员。</w:t>
      </w:r>
    </w:p>
    <w:p>
      <w:pPr>
        <w:ind w:firstLine="480"/>
      </w:pPr>
      <w:r>
        <w:rPr/>
        <w:t>8.3在确定成交人之前，供应商试图在响应文件审查、澄清、比较和评价时对谈判小组、采购人和采购代理机构施加任何影响都可能导致其响应无效。</w:t>
      </w:r>
    </w:p>
    <w:p>
      <w:pPr>
        <w:ind w:firstLine="480"/>
      </w:pPr>
      <w:r>
        <w:rPr/>
        <w:t>8.4获得本谈判文件者，须履行本谈判项目下保密义务，不得将因本次谈判获得的信息向第三人外传，不得将谈判文件用作本次响应以外的任何用途。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9.2除非谈判文件的技术规格中另有规定，供应商在响应文件中及其与采购人和采购代理机构的所有往来文件中的计量单位均应采用中华人民共和国法定计量单位。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10.1谈判文件规定组织踏勘现场的，采购人按谈判文件规定的时间、地点组织供应商踏勘项目现场。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10.3采购人在踏勘现场中介绍的资料和数据等，不构成对谈判文件的修改或不作为供应商编制响应文件的依据。</w:t>
      </w:r>
    </w:p>
    <w:p>
      <w:r>
        <w:rPr>
          <w:b/>
          <w:sz w:val="28"/>
        </w:rPr>
        <w:t>四、谈判文件的澄清和修改</w:t>
      </w:r>
    </w:p>
    <w:p>
      <w:pPr>
        <w:ind w:firstLine="480"/>
      </w:pPr>
      <w:r>
        <w:rPr/>
        <w:t>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ind w:firstLine="480"/>
      </w:pPr>
      <w:r>
        <w:rPr/>
        <w:t>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ind w:firstLine="480"/>
      </w:pPr>
      <w:r>
        <w:rPr/>
        <w:t>3.如更正公告有重新发布电子谈判文件的，供应商应登录云平台项目采购系统下载最新发布的电子谈判文件制作响应文件。</w:t>
      </w:r>
    </w:p>
    <w:p>
      <w:pPr>
        <w:ind w:firstLine="480"/>
      </w:pPr>
      <w:r>
        <w:rPr/>
        <w:t>4.供应商在规定的时间内未对谈判文件提出疑问、质疑或要求澄清的，将视其为无异议。对谈判文件中描述有歧义或前后不一致的地方，谈判小组有权进行评判，但对同一条款的评判应适用于每个供应商。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2.5供应商须对谈判文件的对应要求给予唯一的实质性响应，否则将视为不响应。</w:t>
      </w:r>
    </w:p>
    <w:p>
      <w:pPr>
        <w:ind w:firstLine="480"/>
      </w:pPr>
      <w:r>
        <w:rPr/>
        <w:t>2.6谈判文件中，凡标有“★”的地方均为实质性响应条款，供应商若有一项带“★”的条款未响应或不满足，将按无效响应处理。</w:t>
      </w:r>
    </w:p>
    <w:p>
      <w:pPr>
        <w:ind w:firstLine="480"/>
      </w:pPr>
      <w:r>
        <w:rPr/>
        <w:t>2.7供应商必须按谈判文件指定的格式填写各种报价，各报价应计算正确。除在谈判文件另有规定外（如：报折扣、报优惠率等），计量单位应使用中华人民共和国法定计量单位，以人民币填报所有报价。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，到账情况以谈判时</w:t>
      </w:r>
      <w:r>
        <w:rPr/>
        <w:t>佛山市信悦咨询有限公司</w:t>
      </w:r>
      <w:r>
        <w:rPr/>
        <w:t>查询的信息为准。</w:t>
      </w:r>
    </w:p>
    <w:p>
      <w:pPr>
        <w:ind w:firstLine="480"/>
      </w:pPr>
      <w:r>
        <w:rPr/>
        <w:t>如采用金融机构、专业担保机构开具的投标（响应）担保函、投标（响应）保证保险函等形式提交响应保证金的，投标（响应）担保函或投标（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（1）供应商在响应截止时间前放弃响应的，自所参与采购包结果公告发出后5个工作日内退还。</w:t>
      </w:r>
    </w:p>
    <w:p>
      <w:pPr>
        <w:ind w:firstLine="480"/>
      </w:pPr>
      <w:r>
        <w:rPr/>
        <w:t>（2）未成交的供应商保证金，在成交通知书发出后5个工作日内原额退还。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（2）供应商在谈判文件规定的响应有效期内撤销其响应；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（5）法律法规和谈判文件规定的其他情形。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8.1谈判文件规定供应商提交样品的，样品属于响应文件的组成部分。样品的生产、运输、安装、保全等一切费用由供应商自理。</w:t>
      </w:r>
    </w:p>
    <w:p>
      <w:pPr>
        <w:ind w:firstLine="480"/>
      </w:pPr>
      <w:r>
        <w:rPr/>
        <w:t>8.2响应截止时间前，供应商应将样品送达至指定地点。若需要现场演示的，供应商应提前做好演示准备（包括演示设备）。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9除谈判文件另有规定外，有下列情形之一的，响应无效：</w:t>
      </w:r>
    </w:p>
    <w:p>
      <w:pPr>
        <w:ind w:firstLine="480"/>
      </w:pPr>
      <w:r>
        <w:rPr/>
        <w:t>9.1响应文件未按照谈判文件要求签署、盖章；</w:t>
      </w:r>
    </w:p>
    <w:p>
      <w:pPr>
        <w:ind w:firstLine="480"/>
      </w:pPr>
      <w:r>
        <w:rPr/>
        <w:t>9.2不符合谈判文件中规定的资格要求；</w:t>
      </w:r>
    </w:p>
    <w:p>
      <w:pPr>
        <w:ind w:firstLine="480"/>
      </w:pPr>
      <w:r>
        <w:rPr/>
        <w:t>9.3响应报价超过谈判文件中规定的预算金额或最高限价；</w:t>
      </w:r>
    </w:p>
    <w:p>
      <w:pPr>
        <w:ind w:firstLine="480"/>
      </w:pPr>
      <w:r>
        <w:rPr/>
        <w:t>9.4响应文件含有采购人不能接受的附加条件；</w:t>
      </w:r>
    </w:p>
    <w:p>
      <w:pPr>
        <w:ind w:firstLine="480"/>
      </w:pPr>
      <w:r>
        <w:rPr/>
        <w:t>9.5有关法律、法规和规章及谈判文件规定的其他无效情形。</w:t>
      </w:r>
    </w:p>
    <w:p>
      <w:r>
        <w:rPr>
          <w:b/>
          <w:sz w:val="28"/>
        </w:rPr>
        <w:t>六、谈判、评审和结果确认</w:t>
      </w:r>
    </w:p>
    <w:p>
      <w:r>
        <w:rPr>
          <w:b/>
          <w:sz w:val="24"/>
        </w:rPr>
        <w:t>1. 响应文件的开启</w:t>
      </w:r>
    </w:p>
    <w:p>
      <w:pPr>
        <w:ind w:firstLine="480"/>
      </w:pPr>
      <w:r>
        <w:rPr/>
        <w:t>1.1 开启程序</w:t>
      </w:r>
    </w:p>
    <w:p>
      <w:pPr>
        <w:ind w:firstLine="480"/>
      </w:pPr>
      <w:r>
        <w:rPr/>
        <w:t>工作人员按谈判公告规定的时间进行开启，由采购人或者采购代理机构工作人员宣布供应商名称、解密情况和谈判文件规定的需要宣布的其他内容。开启分为现场电子开启和远程电子开启两种。</w:t>
      </w:r>
    </w:p>
    <w:p>
      <w:pPr>
        <w:ind w:firstLine="480"/>
      </w:pPr>
      <w:r>
        <w:rPr/>
        <w:t>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ind w:firstLine="480"/>
      </w:pPr>
      <w:r>
        <w:rPr/>
        <w:t>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上以公告的形式发布成交结果，结果公告的公告期限为1个工作日。结果公告同时作为采购代理机构通知除成交供应商外的其他供应商没有成交的书面形式，采购代理机构不再以其它方式另行通知。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终止谈判采购活动后，采购人或采购代理机构将在中国政府采购网(www.ccgp.gov.cn)、广东省政府采购网(https://gdgpo.czt.gd.gov.cn/)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(1)对谈判文件提出质疑的，为获取谈判文件之日或者谈判文件公告期限届满之日；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(3)认为谈判文件、采购过程、成交结果使自己的合法权益受到损害的法律依据、事实依据、相关证明材料及证据来源；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1.合同的签订</w:t>
      </w:r>
    </w:p>
    <w:p>
      <w:pPr>
        <w:ind w:firstLine="480"/>
      </w:pPr>
      <w:r>
        <w:rPr/>
        <w:t>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1.2采购人不得提出试用合格等任何不合理的要求作为签订合同的条件，且不得与成交人私下订立背离合同实质性内容的协议。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r>
        <w:rPr>
          <w:b/>
          <w:sz w:val="36"/>
        </w:rPr>
        <w:t>第四章 评审</w:t>
      </w:r>
    </w:p>
    <w:p>
      <w:r>
        <w:rPr>
          <w:b/>
          <w:sz w:val="28"/>
        </w:rPr>
        <w:t>一、评审要求</w:t>
      </w:r>
    </w:p>
    <w:p>
      <w:r>
        <w:rPr>
          <w:b/>
          <w:sz w:val="24"/>
        </w:rPr>
        <w:t>1.评审方法</w:t>
      </w:r>
    </w:p>
    <w:p>
      <w:pPr>
        <w:ind w:firstLine="480"/>
      </w:pPr>
    </w:p>
    <w:p/>
    <w:p>
      <w:r>
        <w:rPr/>
        <w:t>采购包1(禅城区肢体残疾人居家康复服务采购)：最低价评审价法,是指响应文件满足谈判文件全部实质性要求，且谈判报价最低的供应商为成交候选人的评审方法。</w:t>
      </w:r>
    </w:p>
    <w:p/>
    <w:p>
      <w:r>
        <w:rPr>
          <w:b/>
          <w:sz w:val="24"/>
        </w:rPr>
        <w:t>2.评审原则</w:t>
      </w:r>
    </w:p>
    <w:p>
      <w:pPr>
        <w:ind w:firstLine="480"/>
      </w:pPr>
      <w:r>
        <w:rPr/>
        <w:t>2.1评审活动遵循公平、公正、科学和择优的原则，以谈判文件和响应文件为评审的基本依据，并按照谈判文件规定的评审方法和评审标准进行评审。</w:t>
      </w:r>
    </w:p>
    <w:p>
      <w:pPr>
        <w:ind w:firstLine="480"/>
      </w:pPr>
      <w:r>
        <w:rPr/>
        <w:t>2.2具体评审事项由谈判小组负责，并按谈判文件的规定办法进行评审。对谈判文件中描述有歧义或前后不一致的地方，谈判小组有权按法律法规的规定进行评判，但对同一条款的评判应适用于每个响应供应商。</w:t>
      </w:r>
    </w:p>
    <w:p>
      <w:r>
        <w:rPr>
          <w:b/>
          <w:sz w:val="24"/>
        </w:rPr>
        <w:t>3.谈判小组</w:t>
      </w:r>
    </w:p>
    <w:p>
      <w:pPr>
        <w:ind w:firstLine="480"/>
      </w:pPr>
      <w:r>
        <w:rPr/>
        <w:t>3.1谈判小组由采购人代表和评审专家组成，成员人数应当为3人及以上单数，其中技术、经济等方面的评审专家不得少于成员总数的三分之二</w:t>
      </w:r>
    </w:p>
    <w:p>
      <w:pPr>
        <w:ind w:firstLine="480"/>
      </w:pPr>
      <w:r>
        <w:rPr/>
        <w:t>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（4）全体评委应按照谈判文件规定进行评审，一切认定事项应查有实据且不得弄虚作假。</w:t>
      </w:r>
    </w:p>
    <w:p>
      <w:pPr>
        <w:ind w:firstLine="480"/>
      </w:pPr>
      <w:r>
        <w:rPr/>
        <w:t>（5）谈判小组各成员应当独立对每个响应供应商的响应文件进行评价，并对评价意见承担个人责任。评审过程中，不得发表倾向性言论。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4.4不同供应商的响应文件异常一致或者谈判报价呈规律性差异；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说明：在评审过程中发现供应商有上述情形的，谈判小组应当认定其响应无效，并书面报告本级财政部门。同时，项目评审时被认定为串通响应的供应商不得参加该合同项下的采购活动。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详见资格性审查、符合性审查和谈判文件其他响应无效条款。</w:t>
      </w:r>
    </w:p>
    <w:p>
      <w:r>
        <w:rPr>
          <w:b/>
          <w:sz w:val="24"/>
        </w:rPr>
        <w:t>7.终止竞争性谈判采购活动的情形</w:t>
      </w:r>
    </w:p>
    <w:p>
      <w:pPr>
        <w:ind w:firstLine="480"/>
      </w:pPr>
      <w:r>
        <w:rPr/>
        <w:t>出现下列情形之一的，采购人或者采购代理机构应当终止竞争性谈判采购活动，发布项目终止公告并说明原因，重新开展采购活动：</w:t>
      </w:r>
    </w:p>
    <w:p>
      <w:pPr>
        <w:ind w:firstLine="480"/>
      </w:pPr>
      <w:r>
        <w:rPr/>
        <w:t>（1）因情况变化，不再符合规定的竞争性谈判采购方式适用情形的；</w:t>
      </w:r>
    </w:p>
    <w:p>
      <w:pPr>
        <w:ind w:firstLine="480"/>
      </w:pPr>
      <w:r>
        <w:rPr/>
        <w:t>（2）出现影响采购公正的违法、违规行为的；</w:t>
      </w:r>
    </w:p>
    <w:p>
      <w:pPr>
        <w:ind w:firstLine="480"/>
      </w:pPr>
      <w:r>
        <w:rPr/>
        <w:t>（3）在采购过程中符合谈判要求的供应商或者报价未超过采购预算的供应商不足3家的，但经财政部门批准的情形除外；</w:t>
      </w:r>
    </w:p>
    <w:p>
      <w:pPr>
        <w:ind w:firstLine="480"/>
      </w:pPr>
      <w:r>
        <w:rPr/>
        <w:t>（4）法律、法规以及谈判文件规定其他情形。</w:t>
      </w:r>
    </w:p>
    <w:p>
      <w:r>
        <w:rPr>
          <w:b/>
          <w:sz w:val="24"/>
        </w:rPr>
        <w:t>8.确定成交供应商</w:t>
      </w:r>
    </w:p>
    <w:p>
      <w:pPr>
        <w:ind w:firstLine="480"/>
      </w:pPr>
      <w:r>
        <w:rPr/>
        <w:t>谈判小组按照谈判文件确定的评审方法、步骤、标准，对响应文件进行评审。评审结束后，对供应商的评审名次进行排序，确定成交供应商或者推荐成交候选供应商。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（1）响应文件中首轮报价表内容与响应文件中相应内容不一致的，以首轮报价表为准；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采购包1（禅城区肢体残疾人居家康复服务采购）：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r>
        <w:rPr>
          <w:b/>
          <w:sz w:val="28"/>
        </w:rPr>
        <w:t>二、评审程序</w:t>
      </w:r>
    </w:p>
    <w:p>
      <w:r>
        <w:rPr>
          <w:b/>
          <w:sz w:val="24"/>
        </w:rPr>
        <w:t>1.1.资格性审查和符合性审查</w:t>
      </w:r>
      <w:r>
        <w:rPr/>
        <w:t>　　</w:t>
      </w:r>
    </w:p>
    <w:p>
      <w:pPr>
        <w:ind w:firstLine="480"/>
      </w:pPr>
      <w:r>
        <w:rPr/>
        <w:t>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ind w:firstLine="480"/>
      </w:pPr>
      <w:r>
        <w:rPr/>
        <w:t>谈判小组对各报价供应商进行资格性和符合性审查过程中，对初步被认定为初审不合格或无效报价者应实行及时告知，由谈判小组组长或采购人代表将集体意见及时告知报价当事人。</w:t>
      </w:r>
    </w:p>
    <w:p>
      <w:pPr>
        <w:ind w:firstLine="480"/>
      </w:pPr>
      <w:r>
        <w:rPr/>
        <w:t>表一资格性审查表：</w:t>
      </w:r>
    </w:p>
    <w:p>
      <w:pPr>
        <w:ind w:firstLine="480"/>
      </w:pPr>
    </w:p>
    <w:p/>
    <w:p>
      <w:r>
        <w:rPr/>
        <w:t>采购包1（禅城区肢体残疾人居家康复服务采购）：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竞争性谈判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谈判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提供履行合同所必须的设备及专业技术情况表或相关承诺（自拟格式）。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竞争性谈判文件第六章《响应文件格式与要求》进行承诺），或提供《政府采购供应商资格信用承诺函》（按照竞争性谈判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w:t>
            </w:r>
          </w:p>
        </w:tc>
        <w:tc>
          <w:tcPr>
            <w:tcW w:type="dxa" w:w="4238"/>
          </w:tcPr>
          <w:p>
            <w:r>
              <w:rPr/>
              <w:t>供应商须具有有效期内的《医疗机构执业许可证》（提供证书扫描件）。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采购包1（禅城区肢体残疾人居家康复服务采购）：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响应承诺函已提交并符合竞争性谈判文件要求的。</w:t>
            </w:r>
          </w:p>
        </w:tc>
      </w:tr>
      <w:tr>
        <w:tc>
          <w:tcPr>
            <w:tcW w:type="dxa" w:w="890"/>
          </w:tcPr>
          <w:p>
            <w:r>
              <w:rPr/>
              <w:t>2</w:t>
            </w:r>
          </w:p>
        </w:tc>
        <w:tc>
          <w:tcPr>
            <w:tcW w:type="dxa" w:w="3178"/>
          </w:tcPr>
          <w:p>
            <w:r>
              <w:rPr/>
              <w:t>签署、盖章</w:t>
            </w:r>
          </w:p>
        </w:tc>
        <w:tc>
          <w:tcPr>
            <w:tcW w:type="dxa" w:w="4238"/>
          </w:tcPr>
          <w:p>
            <w:r>
              <w:rPr/>
              <w:t>按照竞争性谈判文件规定要求签署、盖章且投标文件有法定代表人签字或盖章（或签字人有法定代表人有效授权书）的。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响应文件满足竞争性谈判文件中标注★号条款的。</w:t>
            </w:r>
          </w:p>
        </w:tc>
      </w:tr>
      <w:tr>
        <w:tc>
          <w:tcPr>
            <w:tcW w:type="dxa" w:w="890"/>
          </w:tcPr>
          <w:p>
            <w:r>
              <w:rPr/>
              <w:t>4</w:t>
            </w:r>
          </w:p>
        </w:tc>
        <w:tc>
          <w:tcPr>
            <w:tcW w:type="dxa" w:w="3178"/>
          </w:tcPr>
          <w:p>
            <w:r>
              <w:rPr/>
              <w:t>首轮报价</w:t>
            </w:r>
          </w:p>
        </w:tc>
        <w:tc>
          <w:tcPr>
            <w:tcW w:type="dxa" w:w="4238"/>
          </w:tcPr>
          <w:p>
            <w:r>
              <w:rPr/>
              <w:t>首轮报价未超过本项目最高单价限价。</w:t>
            </w:r>
          </w:p>
        </w:tc>
      </w:tr>
      <w:tr>
        <w:tc>
          <w:tcPr>
            <w:tcW w:type="dxa" w:w="890"/>
          </w:tcPr>
          <w:p>
            <w:r>
              <w:rPr/>
              <w:t>5</w:t>
            </w:r>
          </w:p>
        </w:tc>
        <w:tc>
          <w:tcPr>
            <w:tcW w:type="dxa" w:w="3178"/>
          </w:tcPr>
          <w:p>
            <w:r>
              <w:rPr/>
              <w:t>报价修正</w:t>
            </w:r>
          </w:p>
        </w:tc>
        <w:tc>
          <w:tcPr>
            <w:tcW w:type="dxa" w:w="4238"/>
          </w:tcPr>
          <w:p>
            <w:r>
              <w:rPr/>
              <w:t>如出现须进行价格修正的情形，响应供应商按规定书面确认。</w:t>
            </w:r>
          </w:p>
        </w:tc>
      </w:tr>
      <w:tr>
        <w:tc>
          <w:tcPr>
            <w:tcW w:type="dxa" w:w="890"/>
          </w:tcPr>
          <w:p>
            <w:r>
              <w:rPr/>
              <w:t>6</w:t>
            </w:r>
          </w:p>
        </w:tc>
        <w:tc>
          <w:tcPr>
            <w:tcW w:type="dxa" w:w="3178"/>
          </w:tcPr>
          <w:p>
            <w:r>
              <w:rPr/>
              <w:t>响应方案及报价方案</w:t>
            </w:r>
          </w:p>
        </w:tc>
        <w:tc>
          <w:tcPr>
            <w:tcW w:type="dxa" w:w="4238"/>
          </w:tcPr>
          <w:p>
            <w:r>
              <w:rPr/>
              <w:t>响应供应商提供的响应方案及报价方案固定。</w:t>
            </w:r>
          </w:p>
        </w:tc>
      </w:tr>
      <w:tr>
        <w:tc>
          <w:tcPr>
            <w:tcW w:type="dxa" w:w="890"/>
          </w:tcPr>
          <w:p>
            <w:r>
              <w:rPr/>
              <w:t>7</w:t>
            </w:r>
          </w:p>
        </w:tc>
        <w:tc>
          <w:tcPr>
            <w:tcW w:type="dxa" w:w="3178"/>
          </w:tcPr>
          <w:p>
            <w:r>
              <w:rPr/>
              <w:t>其他</w:t>
            </w:r>
          </w:p>
        </w:tc>
        <w:tc>
          <w:tcPr>
            <w:tcW w:type="dxa" w:w="4238"/>
          </w:tcPr>
          <w:p>
            <w:r>
              <w:rPr/>
              <w:t>响应文件中未有法律、法规和竞争性谈判文件规定的其他无效情形。</w:t>
            </w:r>
          </w:p>
        </w:tc>
      </w:tr>
    </w:tbl>
    <w:p/>
    <w:p>
      <w:r>
        <w:rPr>
          <w:b/>
          <w:sz w:val="24"/>
        </w:rPr>
        <w:t>2.响应文件澄清</w:t>
      </w:r>
    </w:p>
    <w:p>
      <w:pPr>
        <w:ind w:firstLine="480"/>
      </w:pPr>
      <w:r>
        <w:rPr/>
        <w:t>2.1对于响应文件中含义不明确、同类问题表述不一致或者有明显文字和计算错误的内容，谈判小组可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2.2谈判小组不接受供应商主动提出的澄清、说明或补正。</w:t>
      </w:r>
    </w:p>
    <w:p>
      <w:pPr>
        <w:ind w:firstLine="480"/>
      </w:pPr>
      <w:r>
        <w:rPr/>
        <w:t>2.3谈判小组对供应商提交的澄清、说明或补正有疑问的，可以要求供应商进一步澄清、说明或补正。</w:t>
      </w:r>
    </w:p>
    <w:p>
      <w:r>
        <w:rPr>
          <w:b/>
          <w:sz w:val="24"/>
        </w:rPr>
        <w:t>3.谈判</w:t>
      </w:r>
    </w:p>
    <w:p>
      <w:pPr>
        <w:ind w:firstLine="480"/>
      </w:pPr>
      <w:r>
        <w:rPr/>
        <w:t>3.1谈判小组所有成员应当集中与单一供应商分别进行谈判，并给予所有参加谈判的供应商平等的谈判机会。</w:t>
      </w:r>
    </w:p>
    <w:p>
      <w:pPr>
        <w:ind w:firstLine="480"/>
      </w:pPr>
      <w:r>
        <w:rPr/>
        <w:t>3.2在谈判过程中，谈判小组可以根据谈判文件和谈判情况实质性变动采购需求中的技术、服务要求以及合同草案条款，但不得变动谈判文件中的其他内容。实质性变动的内容，须经采购人代表确认。</w:t>
      </w:r>
    </w:p>
    <w:p>
      <w:pPr>
        <w:ind w:firstLine="480"/>
      </w:pPr>
      <w:r>
        <w:rPr/>
        <w:t>3.3对谈判文件作出的实质性变动是谈判文件的有效组成部分，谈判小组应当及时、同时通知所有参加谈判的供应商。</w:t>
      </w:r>
    </w:p>
    <w:p>
      <w:pPr>
        <w:ind w:firstLine="480"/>
      </w:pPr>
      <w:r>
        <w:rPr/>
        <w:t>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4.1谈判结束后，谈判小组应当要求所有实质性响应的供应商在规定时间内提交最后报价。最后报价是供应商响应文件的有效组成部分。</w:t>
      </w:r>
    </w:p>
    <w:p>
      <w:pPr>
        <w:ind w:firstLine="480"/>
      </w:pPr>
      <w:r>
        <w:rPr/>
        <w:t>4.2已提交响应文件的供应商，在提交最后报价之前，可以根据谈判情况退出谈判。</w:t>
      </w:r>
    </w:p>
    <w:p>
      <w:r>
        <w:rPr>
          <w:b/>
          <w:sz w:val="24"/>
        </w:rPr>
        <w:t>5.详细评审</w:t>
      </w:r>
    </w:p>
    <w:p>
      <w:pPr>
        <w:ind w:firstLine="480"/>
      </w:pPr>
      <w:r>
        <w:rPr/>
        <w:t>采用最低评审价法对供应商的响应文件和最后报价进行评审。</w:t>
      </w:r>
    </w:p>
    <w:p>
      <w:r>
        <w:rPr>
          <w:b/>
          <w:sz w:val="24"/>
        </w:rPr>
        <w:t>6.汇总、排序</w:t>
      </w:r>
    </w:p>
    <w:p>
      <w:pPr>
        <w:ind w:firstLine="480"/>
      </w:pPr>
    </w:p>
    <w:p/>
    <w:p>
      <w:r>
        <w:rPr/>
        <w:t>采购包1：</w:t>
      </w:r>
    </w:p>
    <w:p/>
    <w:p>
      <w:r>
        <w:rPr/>
        <w:t>谈判小组从质量和服务均能满足采购文件实质性响应要求的供应商中，按照最后报价由低到高的顺序提出2名成交候选人。最后报价相同时，由谈判小组采取随机抽取的方式确定成交候选人的排序。</w:t>
      </w:r>
    </w:p>
    <w:p/>
    <w:p>
      <w:r>
        <w:rPr>
          <w:b/>
          <w:sz w:val="24"/>
        </w:rPr>
        <w:t>7.其他无效响应的情形</w:t>
      </w:r>
    </w:p>
    <w:p>
      <w:pPr>
        <w:ind w:firstLine="480"/>
      </w:pPr>
      <w:r>
        <w:rPr/>
        <w:t>(1)评审期间，供应商没有按照谈判小组的要求提交法定代表人或其委托代理人签字的澄清、说明、补正或改变了响应文件的实质性内容的。</w:t>
      </w:r>
    </w:p>
    <w:p>
      <w:pPr>
        <w:ind w:firstLine="480"/>
      </w:pPr>
      <w:r>
        <w:rPr/>
        <w:t>(2)响应文件提供虚假材料的。</w:t>
      </w:r>
    </w:p>
    <w:p>
      <w:pPr>
        <w:ind w:firstLine="480"/>
      </w:pPr>
      <w:r>
        <w:rPr/>
        <w:t>(3)供应商以行贿手段谋取成交或者以其他弄虚作假方式响应的。</w:t>
      </w:r>
    </w:p>
    <w:p>
      <w:pPr>
        <w:ind w:firstLine="480"/>
      </w:pPr>
      <w:r>
        <w:rPr/>
        <w:t>(4)供应商对采购人、采购代理机构、谈判小组及其工作人员施加影响，有碍协商公平、公正的。</w:t>
      </w:r>
    </w:p>
    <w:p>
      <w:pPr>
        <w:ind w:firstLine="480"/>
      </w:pPr>
      <w:r>
        <w:rPr/>
        <w:t>(5)响应文件含有采购人不能接受的附加条件的。</w:t>
      </w:r>
    </w:p>
    <w:p>
      <w:pPr>
        <w:ind w:firstLine="480"/>
      </w:pPr>
      <w:r>
        <w:rPr/>
        <w:t>(6)法律、法规和谈判文件规定的其他无效情形。</w:t>
      </w:r>
    </w:p>
    <w:p>
      <w:pPr>
        <w:ind w:firstLine="480"/>
      </w:pPr>
    </w:p>
    <w:p>
      <w:r>
        <w:rPr/>
        <w:t xml:space="preserve"> </w:t>
      </w:r>
    </w:p>
    <w:p/>
    <w:p>
      <w:r>
        <w:rPr>
          <w:b/>
          <w:sz w:val="36"/>
        </w:rPr>
        <w:t>第五章 合同文本</w:t>
      </w:r>
    </w:p>
    <w:p>
      <w:pPr>
        <w:ind w:firstLine="480"/>
      </w:pPr>
    </w:p>
    <w:p/>
    <w:p>
      <w:pPr>
        <w:jc w:val="both"/>
      </w:pPr>
      <w:r>
        <w:rPr/>
        <w:t xml:space="preserve"> </w:t>
      </w:r>
    </w:p>
    <w:p>
      <w:pPr>
        <w:ind w:firstLine="480"/>
        <w:jc w:val="both"/>
      </w:pPr>
    </w:p>
    <w:p>
      <w:pPr>
        <w:jc w:val="both"/>
      </w:pPr>
    </w:p>
    <w:p>
      <w:pPr>
        <w:jc w:val="both"/>
      </w:pPr>
    </w:p>
    <w:p>
      <w:pPr>
        <w:jc w:val="both"/>
      </w:pPr>
    </w:p>
    <w:p>
      <w:pPr>
        <w:ind w:firstLine="480"/>
        <w:jc w:val="both"/>
      </w:pPr>
    </w:p>
    <w:p>
      <w:pPr>
        <w:jc w:val="both"/>
      </w:pPr>
    </w:p>
    <w:p>
      <w:pPr>
        <w:jc w:val="both"/>
      </w:pPr>
    </w:p>
    <w:p>
      <w:pPr>
        <w:jc w:val="both"/>
      </w:pPr>
    </w:p>
    <w:p>
      <w:pPr>
        <w:ind w:firstLine="480"/>
        <w:jc w:val="both"/>
      </w:pPr>
    </w:p>
    <w:p>
      <w:pPr>
        <w:jc w:val="both"/>
      </w:pPr>
    </w:p>
    <w:p>
      <w:pPr>
        <w:jc w:val="both"/>
      </w:pPr>
    </w:p>
    <w:p>
      <w:pPr>
        <w:jc w:val="both"/>
      </w:pPr>
    </w:p>
    <w:p>
      <w:pPr>
        <w:jc w:val="center"/>
      </w:pPr>
      <w:r>
        <w:rPr>
          <w:color w:val="000000"/>
          <w:sz w:val="68"/>
        </w:rPr>
        <w:t>佛山市政府采购项目</w:t>
      </w:r>
    </w:p>
    <w:p>
      <w:pPr>
        <w:jc w:val="center"/>
      </w:pPr>
      <w:r>
        <w:rPr>
          <w:color w:val="000000"/>
          <w:sz w:val="68"/>
        </w:rPr>
        <w:t>合同书</w:t>
      </w:r>
    </w:p>
    <w:p>
      <w:pPr>
        <w:ind w:firstLine="2409"/>
        <w:jc w:val="left"/>
      </w:pPr>
    </w:p>
    <w:p>
      <w:pPr>
        <w:ind w:firstLine="2409"/>
        <w:jc w:val="left"/>
      </w:pPr>
      <w:r>
        <w:rPr>
          <w:b/>
          <w:color w:val="000000"/>
          <w:sz w:val="24"/>
        </w:rPr>
        <w:t>项目编号：</w:t>
      </w:r>
      <w:r>
        <w:rPr>
          <w:b/>
          <w:sz w:val="21"/>
          <w:u w:val="single"/>
        </w:rPr>
        <w:t xml:space="preserve">                   </w:t>
      </w:r>
    </w:p>
    <w:p>
      <w:pPr>
        <w:ind w:firstLine="2409"/>
        <w:jc w:val="left"/>
      </w:pPr>
      <w:r>
        <w:rPr>
          <w:b/>
          <w:color w:val="000000"/>
          <w:sz w:val="24"/>
        </w:rPr>
        <w:t>项目名称：</w:t>
      </w:r>
      <w:r>
        <w:rPr>
          <w:b/>
          <w:sz w:val="21"/>
          <w:u w:val="single"/>
        </w:rPr>
        <w:t xml:space="preserve">                   </w:t>
      </w:r>
    </w:p>
    <w:p>
      <w:pPr>
        <w:ind w:firstLine="2409"/>
        <w:jc w:val="left"/>
      </w:pP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采购人名称</w:t>
            </w:r>
            <w:r>
              <w:rPr>
                <w:color w:val="000000"/>
                <w:sz w:val="28"/>
                <w:u w:val="single"/>
              </w:rPr>
              <w:t xml:space="preserve">      </w:t>
            </w:r>
            <w:r>
              <w:rPr>
                <w:sz w:val="21"/>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w:t>
            </w:r>
            <w:r>
              <w:rPr>
                <w:color w:val="000000"/>
                <w:sz w:val="28"/>
                <w:u w:val="single"/>
              </w:rPr>
              <w:t xml:space="preserve">成交供应商名称）     </w:t>
            </w:r>
          </w:p>
        </w:tc>
      </w:tr>
      <w:tr>
        <w:tc>
          <w:tcPr>
            <w:tcW w:type="dxa" w:w="2268"/>
            <w:tcBorders>
              <w:top w:val="none" w:color="000000" w:sz="4"/>
              <w:left w:val="none" w:color="000000" w:sz="4"/>
              <w:bottom w:val="none" w:color="000000" w:sz="4"/>
              <w:right w:val="none" w:color="000000" w:sz="4"/>
            </w:tcBorders>
            <w:vAlign w:val="top"/>
          </w:tcPr>
          <w:p>
            <w:pPr>
              <w:jc w:val="both"/>
            </w:pPr>
            <w:r>
              <w:rPr>
                <w:color w:val="000000"/>
                <w:sz w:val="28"/>
              </w:rPr>
              <w:t xml:space="preserve">  </w:t>
            </w:r>
            <w:r>
              <w:rPr>
                <w:color w:val="000000"/>
                <w:sz w:val="28"/>
              </w:rPr>
              <w:t>丙</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ind w:firstLine="280"/>
              <w:jc w:val="left"/>
            </w:pPr>
            <w:r>
              <w:rPr>
                <w:color w:val="000000"/>
                <w:sz w:val="28"/>
                <w:u w:val="single"/>
              </w:rPr>
              <w:t>（服务管理单位）</w:t>
            </w:r>
            <w:r>
              <w:rPr>
                <w:sz w:val="21"/>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 xml:space="preserve"> </w:t>
            </w:r>
            <w:r>
              <w:rPr>
                <w:color w:val="000000"/>
                <w:sz w:val="28"/>
              </w:rPr>
              <w:t>签订日期：</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color w:val="000000"/>
                <w:sz w:val="28"/>
                <w:u w:val="single"/>
              </w:rPr>
              <w:t>年</w:t>
            </w:r>
            <w:r>
              <w:rPr>
                <w:sz w:val="21"/>
                <w:u w:val="single"/>
              </w:rPr>
              <w:t xml:space="preserve">   </w:t>
            </w:r>
            <w:r>
              <w:rPr>
                <w:color w:val="000000"/>
                <w:sz w:val="28"/>
                <w:u w:val="single"/>
              </w:rPr>
              <w:t>月</w:t>
            </w:r>
            <w:r>
              <w:rPr>
                <w:sz w:val="21"/>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r>
        <w:rPr>
          <w:b/>
          <w:color w:val="000000"/>
          <w:sz w:val="44"/>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vAlign w:val="top"/>
          </w:tcPr>
          <w:p>
            <w:pPr>
              <w:jc w:val="left"/>
            </w:pPr>
            <w:r>
              <w:rPr>
                <w:b/>
                <w:color w:val="000000"/>
                <w:sz w:val="21"/>
              </w:rPr>
              <w:t>项目名称：</w:t>
            </w:r>
          </w:p>
        </w:tc>
        <w:tc>
          <w:tcPr>
            <w:tcW w:type="dxa" w:w="6669"/>
            <w:tcBorders>
              <w:top w:val="none" w:color="000000" w:sz="4"/>
              <w:left w:val="none" w:color="000000" w:sz="4"/>
              <w:bottom w:val="none" w:color="000000" w:sz="4"/>
              <w:right w:val="none" w:color="000000" w:sz="4"/>
            </w:tcBorders>
            <w:vAlign w:val="top"/>
          </w:tcPr>
          <w:p>
            <w:pPr>
              <w:jc w:val="left"/>
            </w:pP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left"/>
            </w:pPr>
            <w:r>
              <w:rPr>
                <w:b/>
                <w:color w:val="000000"/>
                <w:sz w:val="21"/>
              </w:rPr>
              <w:t>项目编号：</w:t>
            </w:r>
          </w:p>
        </w:tc>
        <w:tc>
          <w:tcPr>
            <w:tcW w:type="dxa" w:w="6669"/>
            <w:tcBorders>
              <w:top w:val="none" w:color="000000" w:sz="4"/>
              <w:left w:val="none" w:color="000000" w:sz="4"/>
              <w:bottom w:val="none" w:color="000000" w:sz="4"/>
              <w:right w:val="none" w:color="000000" w:sz="4"/>
            </w:tcBorders>
            <w:vAlign w:val="top"/>
          </w:tcPr>
          <w:p>
            <w:pPr>
              <w:jc w:val="left"/>
            </w:pP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left"/>
            </w:pPr>
            <w:r>
              <w:rPr>
                <w:b/>
                <w:color w:val="000000"/>
                <w:sz w:val="21"/>
              </w:rPr>
              <w:t>甲</w:t>
            </w:r>
            <w:r>
              <w:rPr>
                <w:b/>
                <w:color w:val="000000"/>
                <w:sz w:val="21"/>
              </w:rPr>
              <w:t xml:space="preserve"> </w:t>
            </w:r>
            <w:r>
              <w:rPr>
                <w:b/>
                <w:color w:val="000000"/>
                <w:sz w:val="21"/>
              </w:rPr>
              <w:t>方：</w:t>
            </w:r>
          </w:p>
        </w:tc>
        <w:tc>
          <w:tcPr>
            <w:tcW w:type="dxa" w:w="6669"/>
            <w:tcBorders>
              <w:top w:val="none" w:color="000000" w:sz="4"/>
              <w:left w:val="none" w:color="000000" w:sz="4"/>
              <w:bottom w:val="none" w:color="000000" w:sz="4"/>
              <w:right w:val="none" w:color="000000" w:sz="4"/>
            </w:tcBorders>
            <w:vAlign w:val="top"/>
          </w:tcPr>
          <w:p>
            <w:pPr>
              <w:jc w:val="left"/>
            </w:pPr>
            <w:r>
              <w:rPr>
                <w:color w:val="000000"/>
                <w:sz w:val="21"/>
                <w:u w:val="single"/>
              </w:rPr>
              <w:t xml:space="preserve">  </w:t>
            </w:r>
            <w:r>
              <w:rPr>
                <w:color w:val="000000"/>
                <w:sz w:val="21"/>
                <w:u w:val="single"/>
              </w:rPr>
              <w:t>（采购人名称）</w:t>
            </w:r>
            <w:r>
              <w:rPr>
                <w:color w:val="000000"/>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left"/>
            </w:pPr>
            <w:r>
              <w:rPr>
                <w:b/>
                <w:color w:val="000000"/>
                <w:sz w:val="21"/>
              </w:rPr>
              <w:t>乙</w:t>
            </w:r>
            <w:r>
              <w:rPr>
                <w:b/>
                <w:color w:val="000000"/>
                <w:sz w:val="21"/>
              </w:rPr>
              <w:t xml:space="preserve"> </w:t>
            </w:r>
            <w:r>
              <w:rPr>
                <w:b/>
                <w:color w:val="000000"/>
                <w:sz w:val="21"/>
              </w:rPr>
              <w:t>方：</w:t>
            </w:r>
          </w:p>
        </w:tc>
        <w:tc>
          <w:tcPr>
            <w:tcW w:type="dxa" w:w="6669"/>
            <w:tcBorders>
              <w:top w:val="none" w:color="000000" w:sz="4"/>
              <w:left w:val="none" w:color="000000" w:sz="4"/>
              <w:bottom w:val="none" w:color="000000" w:sz="4"/>
              <w:right w:val="none" w:color="000000" w:sz="4"/>
            </w:tcBorders>
            <w:vAlign w:val="top"/>
          </w:tcPr>
          <w:p>
            <w:pPr>
              <w:jc w:val="left"/>
            </w:pPr>
            <w:r>
              <w:rPr>
                <w:color w:val="000000"/>
                <w:sz w:val="21"/>
                <w:u w:val="single"/>
              </w:rPr>
              <w:t>（中标</w:t>
            </w:r>
            <w:r>
              <w:rPr>
                <w:color w:val="000000"/>
                <w:sz w:val="21"/>
                <w:u w:val="single"/>
              </w:rPr>
              <w:t>/</w:t>
            </w:r>
            <w:r>
              <w:rPr>
                <w:color w:val="000000"/>
                <w:sz w:val="21"/>
                <w:u w:val="single"/>
              </w:rPr>
              <w:t xml:space="preserve">成交供应商）                                </w:t>
            </w:r>
          </w:p>
        </w:tc>
      </w:tr>
      <w:tr>
        <w:tc>
          <w:tcPr>
            <w:tcW w:type="dxa" w:w="1637"/>
            <w:tcBorders>
              <w:top w:val="none" w:color="000000" w:sz="4"/>
              <w:left w:val="none" w:color="000000" w:sz="4"/>
              <w:bottom w:val="none" w:color="000000" w:sz="4"/>
              <w:right w:val="none" w:color="000000" w:sz="4"/>
            </w:tcBorders>
            <w:vAlign w:val="top"/>
          </w:tcPr>
          <w:p>
            <w:pPr>
              <w:jc w:val="left"/>
            </w:pPr>
            <w:r>
              <w:rPr>
                <w:b/>
                <w:sz w:val="21"/>
              </w:rPr>
              <w:t>丙</w:t>
            </w:r>
            <w:r>
              <w:rPr>
                <w:b/>
                <w:sz w:val="21"/>
              </w:rPr>
              <w:t xml:space="preserve">  </w:t>
            </w:r>
            <w:r>
              <w:rPr>
                <w:b/>
                <w:sz w:val="21"/>
              </w:rPr>
              <w:t>方</w:t>
            </w:r>
          </w:p>
        </w:tc>
        <w:tc>
          <w:tcPr>
            <w:tcW w:type="dxa" w:w="6669"/>
            <w:tcBorders>
              <w:top w:val="none" w:color="000000" w:sz="4"/>
              <w:left w:val="none" w:color="000000" w:sz="4"/>
              <w:bottom w:val="none" w:color="000000" w:sz="4"/>
              <w:right w:val="none" w:color="000000" w:sz="4"/>
            </w:tcBorders>
            <w:vAlign w:val="top"/>
          </w:tcPr>
          <w:p>
            <w:pPr>
              <w:jc w:val="left"/>
            </w:pPr>
            <w:r>
              <w:rPr>
                <w:color w:val="000000"/>
                <w:sz w:val="21"/>
                <w:u w:val="single"/>
              </w:rPr>
              <w:t>（</w:t>
            </w:r>
            <w:r>
              <w:rPr>
                <w:sz w:val="21"/>
                <w:u w:val="single"/>
              </w:rPr>
              <w:t>服务管理</w:t>
            </w:r>
            <w:r>
              <w:rPr>
                <w:color w:val="000000"/>
                <w:sz w:val="21"/>
                <w:u w:val="single"/>
              </w:rPr>
              <w:t>单位）</w:t>
            </w:r>
            <w:r>
              <w:rPr>
                <w:sz w:val="21"/>
                <w:u w:val="single"/>
              </w:rPr>
              <w:t xml:space="preserve">                                    </w:t>
            </w:r>
          </w:p>
        </w:tc>
      </w:tr>
    </w:tbl>
    <w:p>
      <w:pPr>
        <w:ind w:firstLine="420"/>
        <w:jc w:val="left"/>
      </w:pPr>
      <w:r>
        <w:rPr>
          <w:color w:val="000000"/>
          <w:sz w:val="21"/>
        </w:rPr>
        <w:t>根据《中华人民共和国政府采购法》、《中华人民共和国民法典》和本项目采购文件的要求，经三方协商，本着平等互利和诚实信用的原则，一致同意签订本合同如下。</w:t>
      </w:r>
    </w:p>
    <w:p>
      <w:pPr>
        <w:jc w:val="left"/>
      </w:pPr>
      <w:r>
        <w:rPr>
          <w:b/>
          <w:color w:val="000000"/>
          <w:sz w:val="21"/>
        </w:rPr>
        <w:t>一、基本合同条款一览表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46"/>
        <w:gridCol w:w="1397"/>
        <w:gridCol w:w="6263"/>
      </w:tblGrid>
      <w:tr>
        <w:tc>
          <w:tcPr>
            <w:tcW w:type="dxa" w:w="646"/>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39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263"/>
            <w:tcBorders>
              <w:top w:val="single" w:color="000000" w:sz="4"/>
              <w:left w:val="none" w:color="000000" w:sz="4"/>
              <w:bottom w:val="single" w:color="000000" w:sz="4"/>
              <w:right w:val="single" w:color="000000" w:sz="4"/>
            </w:tcBorders>
            <w:vAlign w:val="top"/>
          </w:tcPr>
          <w:p>
            <w:pPr>
              <w:jc w:val="center"/>
            </w:pPr>
            <w:r>
              <w:rPr>
                <w:b/>
                <w:color w:val="000000"/>
                <w:sz w:val="21"/>
              </w:rPr>
              <w:t>内容</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合同金额</w:t>
            </w:r>
          </w:p>
        </w:tc>
        <w:tc>
          <w:tcPr>
            <w:tcW w:type="dxa" w:w="6263"/>
            <w:tcBorders>
              <w:top w:val="none" w:color="000000" w:sz="4"/>
              <w:left w:val="none" w:color="000000" w:sz="4"/>
              <w:bottom w:val="single" w:color="000000" w:sz="4"/>
              <w:right w:val="single" w:color="000000" w:sz="4"/>
            </w:tcBorders>
            <w:vAlign w:val="top"/>
          </w:tcPr>
          <w:p>
            <w:pPr>
              <w:jc w:val="both"/>
            </w:pPr>
            <w:r>
              <w:rPr>
                <w:color w:val="000000"/>
                <w:sz w:val="21"/>
              </w:rPr>
              <w:t>单价：</w:t>
            </w:r>
            <w:r>
              <w:rPr>
                <w:sz w:val="21"/>
                <w:u w:val="single"/>
              </w:rPr>
              <w:t xml:space="preserve">           </w:t>
            </w:r>
          </w:p>
          <w:p>
            <w:pPr>
              <w:jc w:val="both"/>
            </w:pPr>
            <w:r>
              <w:rPr>
                <w:color w:val="000000"/>
                <w:sz w:val="21"/>
              </w:rPr>
              <w:t>人民币小写：</w:t>
            </w:r>
            <w:r>
              <w:rPr>
                <w:sz w:val="21"/>
                <w:u w:val="single"/>
              </w:rPr>
              <w:t xml:space="preserve">             </w:t>
            </w:r>
            <w:r>
              <w:rPr>
                <w:color w:val="000000"/>
                <w:sz w:val="21"/>
              </w:rPr>
              <w:t>元；</w:t>
            </w:r>
          </w:p>
          <w:p>
            <w:pPr>
              <w:jc w:val="both"/>
            </w:pPr>
            <w:r>
              <w:rPr>
                <w:color w:val="000000"/>
                <w:sz w:val="21"/>
              </w:rPr>
              <w:t>大写：</w:t>
            </w:r>
            <w:r>
              <w:rPr>
                <w:sz w:val="21"/>
                <w:u w:val="single"/>
              </w:rPr>
              <w:t xml:space="preserve">                          </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263"/>
            <w:tcBorders>
              <w:top w:val="none" w:color="000000" w:sz="4"/>
              <w:left w:val="non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）合同总额</w:t>
            </w:r>
            <w:r>
              <w:rPr>
                <w:sz w:val="21"/>
              </w:rPr>
              <w:t>包含但不限于以下费用：服务费、交通费、税金以及项目实施过程中其它应预见和不可预见费用等完成本采购项目、达到采购人目的一切费用。</w:t>
            </w:r>
          </w:p>
          <w:p>
            <w:pPr>
              <w:jc w:val="both"/>
            </w:pPr>
            <w:r>
              <w:rPr>
                <w:b/>
                <w:sz w:val="21"/>
              </w:rPr>
              <w:t>第一年</w:t>
            </w:r>
            <w:r>
              <w:rPr>
                <w:b/>
                <w:sz w:val="21"/>
              </w:rPr>
              <w:t>年度最高结算金额</w:t>
            </w:r>
            <w:r>
              <w:rPr>
                <w:b/>
                <w:sz w:val="21"/>
              </w:rPr>
              <w:t>暂按</w:t>
            </w:r>
            <w:r>
              <w:rPr>
                <w:b/>
                <w:sz w:val="21"/>
              </w:rPr>
              <w:t>11</w:t>
            </w:r>
            <w:r>
              <w:rPr>
                <w:b/>
                <w:sz w:val="21"/>
              </w:rPr>
              <w:t>个月计，即</w:t>
            </w:r>
            <w:r>
              <w:rPr>
                <w:b/>
                <w:sz w:val="21"/>
              </w:rPr>
              <w:t>不超过当期总预算金额</w:t>
            </w:r>
            <w:r>
              <w:rPr>
                <w:b/>
                <w:sz w:val="21"/>
              </w:rPr>
              <w:t>7,214,400.00</w:t>
            </w:r>
            <w:r>
              <w:rPr>
                <w:b/>
                <w:sz w:val="21"/>
              </w:rPr>
              <w:t>元</w:t>
            </w:r>
            <w:r>
              <w:rPr>
                <w:b/>
                <w:sz w:val="21"/>
              </w:rPr>
              <w:t>÷36</w:t>
            </w:r>
            <w:r>
              <w:rPr>
                <w:b/>
                <w:sz w:val="21"/>
              </w:rPr>
              <w:t>月</w:t>
            </w:r>
            <w:r>
              <w:rPr>
                <w:b/>
                <w:sz w:val="21"/>
              </w:rPr>
              <w:t>×11</w:t>
            </w:r>
            <w:r>
              <w:rPr>
                <w:b/>
                <w:sz w:val="21"/>
              </w:rPr>
              <w:t>月</w:t>
            </w:r>
            <w:r>
              <w:rPr>
                <w:b/>
                <w:sz w:val="21"/>
              </w:rPr>
              <w:t>=2,204,400.00</w:t>
            </w:r>
            <w:r>
              <w:rPr>
                <w:b/>
                <w:sz w:val="21"/>
              </w:rPr>
              <w:t>元；第二年与第三年年度最高结算金额不超过当年年度总预算金额即</w:t>
            </w:r>
            <w:r>
              <w:rPr>
                <w:b/>
                <w:sz w:val="21"/>
              </w:rPr>
              <w:t>7,214,400.00</w:t>
            </w:r>
            <w:r>
              <w:rPr>
                <w:b/>
                <w:sz w:val="21"/>
              </w:rPr>
              <w:t>元</w:t>
            </w:r>
            <w:r>
              <w:rPr>
                <w:b/>
                <w:sz w:val="21"/>
              </w:rPr>
              <w:t>÷36</w:t>
            </w:r>
            <w:r>
              <w:rPr>
                <w:b/>
                <w:sz w:val="21"/>
              </w:rPr>
              <w:t>月</w:t>
            </w:r>
            <w:r>
              <w:rPr>
                <w:b/>
                <w:sz w:val="21"/>
              </w:rPr>
              <w:t>×12</w:t>
            </w:r>
            <w:r>
              <w:rPr>
                <w:b/>
                <w:sz w:val="21"/>
              </w:rPr>
              <w:t>月</w:t>
            </w:r>
            <w:r>
              <w:rPr>
                <w:b/>
                <w:sz w:val="21"/>
              </w:rPr>
              <w:t>=2,404,800.00</w:t>
            </w:r>
            <w:r>
              <w:rPr>
                <w:b/>
                <w:sz w:val="21"/>
              </w:rPr>
              <w:t>元；本项目总最高结算金额不超过</w:t>
            </w:r>
            <w:r>
              <w:rPr>
                <w:b/>
                <w:sz w:val="21"/>
              </w:rPr>
              <w:t>214,400.00</w:t>
            </w:r>
            <w:r>
              <w:rPr>
                <w:b/>
                <w:sz w:val="21"/>
              </w:rPr>
              <w:t>元</w:t>
            </w:r>
            <w:r>
              <w:rPr>
                <w:b/>
                <w:sz w:val="21"/>
              </w:rPr>
              <w:t>÷36</w:t>
            </w:r>
            <w:r>
              <w:rPr>
                <w:b/>
                <w:sz w:val="21"/>
              </w:rPr>
              <w:t>月</w:t>
            </w:r>
            <w:r>
              <w:rPr>
                <w:b/>
                <w:sz w:val="21"/>
              </w:rPr>
              <w:t>×35</w:t>
            </w:r>
            <w:r>
              <w:rPr>
                <w:b/>
                <w:sz w:val="21"/>
              </w:rPr>
              <w:t>月</w:t>
            </w:r>
            <w:r>
              <w:rPr>
                <w:b/>
                <w:sz w:val="21"/>
              </w:rPr>
              <w:t>=7,014,000.00</w:t>
            </w:r>
            <w:r>
              <w:rPr>
                <w:b/>
                <w:sz w:val="21"/>
              </w:rPr>
              <w:t>元</w:t>
            </w:r>
            <w:r>
              <w:rPr>
                <w:b/>
                <w:sz w:val="21"/>
              </w:rPr>
              <w:t>；最终以实际服务数量进行结算</w:t>
            </w:r>
            <w:r>
              <w:rPr>
                <w:b/>
                <w:sz w:val="21"/>
              </w:rPr>
              <w:t>。</w:t>
            </w:r>
          </w:p>
          <w:p>
            <w:pPr>
              <w:jc w:val="both"/>
            </w:pPr>
            <w:r>
              <w:rPr>
                <w:color w:val="000000"/>
                <w:sz w:val="21"/>
              </w:rPr>
              <w:t>（</w:t>
            </w:r>
            <w:r>
              <w:rPr>
                <w:color w:val="000000"/>
                <w:sz w:val="21"/>
              </w:rPr>
              <w:t>2</w:t>
            </w:r>
            <w:r>
              <w:rPr>
                <w:color w:val="000000"/>
                <w:sz w:val="21"/>
              </w:rPr>
              <w:t>）单价为固定不变价，天数为公历日。</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263"/>
            <w:tcBorders>
              <w:top w:val="none" w:color="000000" w:sz="4"/>
              <w:left w:val="none" w:color="000000" w:sz="4"/>
              <w:bottom w:val="single" w:color="000000" w:sz="4"/>
              <w:right w:val="single" w:color="000000" w:sz="4"/>
            </w:tcBorders>
            <w:vAlign w:val="top"/>
          </w:tcPr>
          <w:p>
            <w:pPr>
              <w:jc w:val="left"/>
            </w:pPr>
            <w:r>
              <w:rPr>
                <w:color w:val="000000"/>
                <w:sz w:val="21"/>
              </w:rPr>
              <w:t>甲方（用户）指定地点。详细地址为：</w:t>
            </w:r>
            <w:r>
              <w:rPr>
                <w:sz w:val="21"/>
              </w:rPr>
              <w:t>佛山市禅城区。</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263"/>
            <w:tcBorders>
              <w:top w:val="none" w:color="000000" w:sz="4"/>
              <w:left w:val="none" w:color="000000" w:sz="4"/>
              <w:bottom w:val="single" w:color="000000" w:sz="4"/>
              <w:right w:val="single" w:color="000000" w:sz="4"/>
            </w:tcBorders>
            <w:vAlign w:val="top"/>
          </w:tcPr>
          <w:p>
            <w:pPr>
              <w:jc w:val="left"/>
            </w:pPr>
            <w:r>
              <w:rPr>
                <w:sz w:val="21"/>
              </w:rPr>
              <w:t>服务期</w:t>
            </w:r>
            <w:r>
              <w:rPr>
                <w:sz w:val="21"/>
              </w:rPr>
              <w:t>自合同签订之日起</w:t>
            </w:r>
            <w:r>
              <w:rPr>
                <w:sz w:val="21"/>
              </w:rPr>
              <w:t>至</w:t>
            </w:r>
            <w:r>
              <w:rPr>
                <w:sz w:val="21"/>
              </w:rPr>
              <w:t>2026</w:t>
            </w:r>
            <w:r>
              <w:rPr>
                <w:sz w:val="21"/>
              </w:rPr>
              <w:t>年</w:t>
            </w:r>
            <w:r>
              <w:rPr>
                <w:sz w:val="21"/>
              </w:rPr>
              <w:t>8</w:t>
            </w:r>
            <w:r>
              <w:rPr>
                <w:sz w:val="21"/>
              </w:rPr>
              <w:t>月</w:t>
            </w:r>
            <w:r>
              <w:rPr>
                <w:sz w:val="21"/>
              </w:rPr>
              <w:t>31</w:t>
            </w:r>
            <w:r>
              <w:rPr>
                <w:sz w:val="21"/>
              </w:rPr>
              <w:t>日。合同一年一签，第一年（</w:t>
            </w:r>
            <w:r>
              <w:rPr>
                <w:sz w:val="21"/>
              </w:rPr>
              <w:t>自合同签订之日起</w:t>
            </w:r>
            <w:r>
              <w:rPr>
                <w:sz w:val="21"/>
              </w:rPr>
              <w:t>至</w:t>
            </w:r>
            <w:r>
              <w:rPr>
                <w:sz w:val="21"/>
              </w:rPr>
              <w:t>2024</w:t>
            </w:r>
            <w:r>
              <w:rPr>
                <w:sz w:val="21"/>
              </w:rPr>
              <w:t>年</w:t>
            </w:r>
            <w:r>
              <w:rPr>
                <w:sz w:val="21"/>
              </w:rPr>
              <w:t>8</w:t>
            </w:r>
            <w:r>
              <w:rPr>
                <w:sz w:val="21"/>
              </w:rPr>
              <w:t>月</w:t>
            </w:r>
            <w:r>
              <w:rPr>
                <w:sz w:val="21"/>
              </w:rPr>
              <w:t>31</w:t>
            </w:r>
            <w:r>
              <w:rPr>
                <w:sz w:val="21"/>
              </w:rPr>
              <w:t>日）合同履行完毕后，甲方根据资金落实情况与对乙方考核情况决定是否续签下一年合同。注：因本项目第一次</w:t>
            </w:r>
            <w:r>
              <w:rPr>
                <w:sz w:val="21"/>
              </w:rPr>
              <w:t>、</w:t>
            </w:r>
            <w:r>
              <w:rPr>
                <w:sz w:val="21"/>
              </w:rPr>
              <w:t>第二次</w:t>
            </w:r>
            <w:r>
              <w:rPr>
                <w:sz w:val="21"/>
              </w:rPr>
              <w:t>政府采购失败，导致第一年合同服务期</w:t>
            </w:r>
            <w:r>
              <w:rPr>
                <w:sz w:val="21"/>
              </w:rPr>
              <w:t>不</w:t>
            </w:r>
            <w:r>
              <w:rPr>
                <w:sz w:val="21"/>
              </w:rPr>
              <w:t>足</w:t>
            </w:r>
            <w:r>
              <w:rPr>
                <w:sz w:val="21"/>
              </w:rPr>
              <w:t>12</w:t>
            </w:r>
            <w:r>
              <w:rPr>
                <w:sz w:val="21"/>
              </w:rPr>
              <w:t>个月</w:t>
            </w:r>
            <w:r>
              <w:rPr>
                <w:sz w:val="21"/>
              </w:rPr>
              <w:t>。</w:t>
            </w:r>
          </w:p>
          <w:p>
            <w:pPr>
              <w:jc w:val="both"/>
            </w:pPr>
            <w:r>
              <w:rPr>
                <w:sz w:val="21"/>
              </w:rPr>
              <w:t>本次合同为第</w:t>
            </w:r>
            <w:r>
              <w:rPr>
                <w:sz w:val="21"/>
                <w:u w:val="single"/>
              </w:rPr>
              <w:t xml:space="preserve">    </w:t>
            </w:r>
            <w:r>
              <w:rPr>
                <w:sz w:val="21"/>
              </w:rPr>
              <w:t>年合同，服务期为</w:t>
            </w:r>
            <w:r>
              <w:rPr>
                <w:sz w:val="21"/>
                <w:u w:val="single"/>
              </w:rPr>
              <w:t xml:space="preserve">             </w:t>
            </w:r>
            <w:r>
              <w:rPr>
                <w:sz w:val="21"/>
              </w:rPr>
              <w:t>。</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合同签订方式及情况</w:t>
            </w:r>
          </w:p>
        </w:tc>
        <w:tc>
          <w:tcPr>
            <w:tcW w:type="dxa" w:w="6263"/>
            <w:tcBorders>
              <w:top w:val="none" w:color="000000" w:sz="4"/>
              <w:left w:val="none" w:color="000000" w:sz="4"/>
              <w:bottom w:val="single" w:color="000000" w:sz="4"/>
              <w:right w:val="single" w:color="000000" w:sz="4"/>
            </w:tcBorders>
            <w:vAlign w:val="top"/>
          </w:tcPr>
          <w:p>
            <w:pPr>
              <w:jc w:val="left"/>
            </w:pPr>
            <w:r>
              <w:rPr>
                <w:color w:val="000000"/>
                <w:sz w:val="21"/>
              </w:rPr>
              <w:t>按年签订本项目采购合同。</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263"/>
            <w:tcBorders>
              <w:top w:val="none" w:color="000000" w:sz="4"/>
              <w:left w:val="none" w:color="000000" w:sz="4"/>
              <w:bottom w:val="single" w:color="000000" w:sz="4"/>
              <w:right w:val="single" w:color="000000" w:sz="4"/>
            </w:tcBorders>
            <w:vAlign w:val="top"/>
          </w:tcPr>
          <w:p>
            <w:pPr>
              <w:ind w:firstLine="420"/>
              <w:jc w:val="left"/>
            </w:pPr>
            <w:r>
              <w:rPr>
                <w:sz w:val="21"/>
              </w:rPr>
              <w:t>1.</w:t>
            </w:r>
            <w:r>
              <w:rPr>
                <w:sz w:val="21"/>
              </w:rPr>
              <w:t>自合同生效之日起，每季度甲方向乙方结算一次，在每季度结束后的次月进行结算，乙方向甲方或丙方报送服务情况统计表，统计情况必须准确、真实、有效，最终以甲方或丙方审核为准。结算的金额</w:t>
            </w:r>
            <w:r>
              <w:rPr>
                <w:sz w:val="21"/>
              </w:rPr>
              <w:t>=</w:t>
            </w:r>
            <w:r>
              <w:rPr>
                <w:sz w:val="21"/>
              </w:rPr>
              <w:t>合同单价</w:t>
            </w:r>
            <w:r>
              <w:rPr>
                <w:sz w:val="21"/>
              </w:rPr>
              <w:t>×</w:t>
            </w:r>
            <w:r>
              <w:rPr>
                <w:sz w:val="21"/>
              </w:rPr>
              <w:t>甲方或丙方审核确定的实际工作量</w:t>
            </w:r>
            <w:r>
              <w:rPr>
                <w:sz w:val="21"/>
              </w:rPr>
              <w:t>-</w:t>
            </w:r>
            <w:r>
              <w:rPr>
                <w:sz w:val="21"/>
              </w:rPr>
              <w:t>考核应扣服务费（如有）。注：第一年合同期最后一期款项仅结算最后</w:t>
            </w:r>
            <w:r>
              <w:rPr>
                <w:sz w:val="21"/>
              </w:rPr>
              <w:t>不足一个季度服务期的</w:t>
            </w:r>
            <w:r>
              <w:rPr>
                <w:sz w:val="21"/>
              </w:rPr>
              <w:t>费用。</w:t>
            </w:r>
          </w:p>
          <w:p>
            <w:pPr>
              <w:ind w:firstLine="420"/>
              <w:jc w:val="left"/>
            </w:pPr>
            <w:r>
              <w:rPr>
                <w:sz w:val="21"/>
              </w:rPr>
              <w:t>2.</w:t>
            </w:r>
            <w:r>
              <w:rPr>
                <w:sz w:val="21"/>
              </w:rPr>
              <w:t>甲方应当自收到发票后</w:t>
            </w:r>
            <w:r>
              <w:rPr>
                <w:sz w:val="21"/>
              </w:rPr>
              <w:t>10</w:t>
            </w:r>
            <w:r>
              <w:rPr>
                <w:sz w:val="21"/>
              </w:rPr>
              <w:t>日内将资金支付到乙方账户。</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263"/>
            <w:tcBorders>
              <w:top w:val="none" w:color="000000" w:sz="4"/>
              <w:left w:val="none" w:color="000000" w:sz="4"/>
              <w:bottom w:val="single" w:color="000000" w:sz="4"/>
              <w:right w:val="single" w:color="000000" w:sz="4"/>
            </w:tcBorders>
            <w:vAlign w:val="top"/>
          </w:tcPr>
          <w:p>
            <w:pPr>
              <w:jc w:val="left"/>
            </w:pPr>
            <w:r>
              <w:rPr>
                <w:sz w:val="21"/>
              </w:rPr>
              <w:t>1.</w:t>
            </w:r>
            <w:r>
              <w:rPr>
                <w:sz w:val="21"/>
              </w:rPr>
              <w:t>乙方凭以下有效文件与甲方结算：</w:t>
            </w:r>
          </w:p>
          <w:p>
            <w:pPr>
              <w:ind w:firstLine="315"/>
              <w:jc w:val="left"/>
            </w:pPr>
            <w:r>
              <w:rPr>
                <w:sz w:val="21"/>
              </w:rPr>
              <w:t>（</w:t>
            </w:r>
            <w:r>
              <w:rPr>
                <w:sz w:val="21"/>
              </w:rPr>
              <w:t>1</w:t>
            </w:r>
            <w:r>
              <w:rPr>
                <w:sz w:val="21"/>
              </w:rPr>
              <w:t>）合同；</w:t>
            </w:r>
          </w:p>
          <w:p>
            <w:pPr>
              <w:ind w:firstLine="315"/>
              <w:jc w:val="left"/>
            </w:pPr>
            <w:r>
              <w:rPr>
                <w:sz w:val="21"/>
              </w:rPr>
              <w:t>（</w:t>
            </w:r>
            <w:r>
              <w:rPr>
                <w:sz w:val="21"/>
              </w:rPr>
              <w:t>2</w:t>
            </w:r>
            <w:r>
              <w:rPr>
                <w:sz w:val="21"/>
              </w:rPr>
              <w:t>）乙方开具的正式发票；</w:t>
            </w:r>
          </w:p>
          <w:p>
            <w:pPr>
              <w:ind w:firstLine="315"/>
              <w:jc w:val="left"/>
            </w:pPr>
            <w:r>
              <w:rPr>
                <w:sz w:val="21"/>
              </w:rPr>
              <w:t>（</w:t>
            </w:r>
            <w:r>
              <w:rPr>
                <w:sz w:val="21"/>
              </w:rPr>
              <w:t>3</w:t>
            </w:r>
            <w:r>
              <w:rPr>
                <w:sz w:val="21"/>
              </w:rPr>
              <w:t>）成交通知书。</w:t>
            </w:r>
          </w:p>
          <w:p>
            <w:pPr>
              <w:ind w:firstLine="420"/>
              <w:jc w:val="left"/>
            </w:pPr>
            <w:r>
              <w:rPr>
                <w:sz w:val="21"/>
              </w:rPr>
              <w:t>（</w:t>
            </w:r>
            <w:r>
              <w:rPr>
                <w:sz w:val="21"/>
              </w:rPr>
              <w:t>4</w:t>
            </w:r>
            <w:r>
              <w:rPr>
                <w:sz w:val="21"/>
              </w:rPr>
              <w:t>）乙方收款时必须持有效发票与甲方结算。收款方、出具发票方、合同乙方均必须与成交供应商名称一致。</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8.</w:t>
            </w:r>
          </w:p>
        </w:tc>
        <w:tc>
          <w:tcPr>
            <w:tcW w:type="dxa" w:w="1397"/>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263"/>
            <w:tcBorders>
              <w:top w:val="none" w:color="000000" w:sz="4"/>
              <w:left w:val="none" w:color="000000" w:sz="4"/>
              <w:bottom w:val="single" w:color="000000" w:sz="4"/>
              <w:right w:val="single" w:color="000000" w:sz="4"/>
            </w:tcBorders>
            <w:vAlign w:val="top"/>
          </w:tcPr>
          <w:p>
            <w:pPr>
              <w:jc w:val="left"/>
            </w:pPr>
            <w:r>
              <w:rPr>
                <w:sz w:val="21"/>
              </w:rPr>
              <w:t>不收取</w:t>
            </w:r>
          </w:p>
        </w:tc>
      </w:tr>
    </w:tbl>
    <w:p>
      <w:pPr>
        <w:jc w:val="left"/>
      </w:pPr>
      <w:r>
        <w:rPr>
          <w:b/>
          <w:color w:val="000000"/>
          <w:sz w:val="21"/>
        </w:rPr>
        <w:t>二、乙方服务要求</w:t>
      </w:r>
    </w:p>
    <w:p>
      <w:pPr>
        <w:jc w:val="left"/>
      </w:pPr>
      <w:r>
        <w:rPr>
          <w:b/>
          <w:color w:val="000000"/>
          <w:sz w:val="21"/>
        </w:rPr>
        <w:t>（一）服务目标</w:t>
      </w:r>
    </w:p>
    <w:p>
      <w:pPr>
        <w:ind w:firstLine="420"/>
        <w:jc w:val="both"/>
      </w:pPr>
      <w:r>
        <w:rPr>
          <w:sz w:val="21"/>
        </w:rPr>
        <w:t>在最佳康复期内，帮助肢体残疾人防止并发症的发生和残疾程度加重，提高日常生活自理能力与就业能力，以达到功能重建，提高生活质量、融入社会的目的。</w:t>
      </w:r>
    </w:p>
    <w:p>
      <w:pPr>
        <w:jc w:val="left"/>
      </w:pPr>
      <w:r>
        <w:rPr>
          <w:b/>
          <w:color w:val="000000"/>
          <w:sz w:val="21"/>
        </w:rPr>
        <w:t>（二）服务方式</w:t>
      </w:r>
    </w:p>
    <w:p>
      <w:pPr>
        <w:ind w:firstLine="420"/>
        <w:jc w:val="left"/>
      </w:pPr>
      <w:r>
        <w:rPr>
          <w:sz w:val="21"/>
        </w:rPr>
        <w:t>以服务对象家庭为核心，由康复服务专业人员为服务对象提供上门或部分时间集中的康复训练和康复护理等综合康复服务。根据服务对象实际情况开展针对性的康复服务。</w:t>
      </w:r>
    </w:p>
    <w:p>
      <w:pPr>
        <w:jc w:val="left"/>
      </w:pPr>
      <w:r>
        <w:rPr>
          <w:b/>
          <w:color w:val="000000"/>
          <w:sz w:val="21"/>
        </w:rPr>
        <w:t>（三）服务时间和服务费用标准</w:t>
      </w:r>
    </w:p>
    <w:p>
      <w:pPr>
        <w:ind w:firstLine="420"/>
        <w:jc w:val="both"/>
      </w:pPr>
      <w:r>
        <w:rPr>
          <w:sz w:val="21"/>
        </w:rPr>
        <w:t>康复对象每人每月享受上门或部分时间集中的康复服务</w:t>
      </w:r>
      <w:r>
        <w:rPr>
          <w:sz w:val="21"/>
        </w:rPr>
        <w:t>6</w:t>
      </w:r>
      <w:r>
        <w:rPr>
          <w:sz w:val="21"/>
        </w:rPr>
        <w:t>次，每次服务时间不少于</w:t>
      </w:r>
      <w:r>
        <w:rPr>
          <w:sz w:val="21"/>
        </w:rPr>
        <w:t>1</w:t>
      </w:r>
      <w:r>
        <w:rPr>
          <w:sz w:val="21"/>
        </w:rPr>
        <w:t>小时，单次服务费用标准为成交单价，按实结服务人次数结算。</w:t>
      </w:r>
    </w:p>
    <w:p>
      <w:pPr>
        <w:jc w:val="left"/>
      </w:pPr>
      <w:r>
        <w:rPr>
          <w:b/>
          <w:color w:val="000000"/>
          <w:sz w:val="21"/>
        </w:rPr>
        <w:t>（四）服务对象及人数</w:t>
      </w:r>
    </w:p>
    <w:p>
      <w:pPr>
        <w:ind w:firstLine="420"/>
        <w:jc w:val="left"/>
      </w:pPr>
      <w:r>
        <w:rPr>
          <w:sz w:val="21"/>
        </w:rPr>
        <w:t>符合《佛山市禅城区人民政府残疾人工作委员会关于印发禅城区残疾人康复救助服务相关实施细则的通知》</w:t>
      </w:r>
      <w:r>
        <w:rPr>
          <w:sz w:val="21"/>
        </w:rPr>
        <w:t>(</w:t>
      </w:r>
      <w:r>
        <w:rPr>
          <w:sz w:val="21"/>
        </w:rPr>
        <w:t>禅残工委〔</w:t>
      </w:r>
      <w:r>
        <w:rPr>
          <w:sz w:val="21"/>
        </w:rPr>
        <w:t>2022</w:t>
      </w:r>
      <w:r>
        <w:rPr>
          <w:sz w:val="21"/>
        </w:rPr>
        <w:t>〕</w:t>
      </w:r>
      <w:r>
        <w:rPr>
          <w:sz w:val="21"/>
        </w:rPr>
        <w:t>3</w:t>
      </w:r>
      <w:r>
        <w:rPr>
          <w:sz w:val="21"/>
        </w:rPr>
        <w:t>号</w:t>
      </w:r>
      <w:r>
        <w:rPr>
          <w:sz w:val="21"/>
        </w:rPr>
        <w:t>)</w:t>
      </w:r>
      <w:r>
        <w:rPr>
          <w:sz w:val="21"/>
        </w:rPr>
        <w:t>中的肢体残疾人，服务人数约为</w:t>
      </w:r>
      <w:r>
        <w:rPr>
          <w:sz w:val="21"/>
        </w:rPr>
        <w:t>334</w:t>
      </w:r>
      <w:r>
        <w:rPr>
          <w:sz w:val="21"/>
        </w:rPr>
        <w:t>人，以甲方或丙方最终审核确认为准。佛山市禅城区各镇街服务人数分布情况如下：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945"/>
        <w:gridCol w:w="2005"/>
        <w:gridCol w:w="2095"/>
        <w:gridCol w:w="2261"/>
      </w:tblGrid>
      <w:tr>
        <w:tc>
          <w:tcPr>
            <w:tcW w:type="dxa" w:w="1945"/>
            <w:tcBorders>
              <w:top w:val="single" w:color="000000" w:sz="4"/>
              <w:left w:val="single" w:color="000000" w:sz="4"/>
              <w:bottom w:val="single" w:color="000000" w:sz="4"/>
              <w:right w:val="single" w:color="000000" w:sz="4"/>
            </w:tcBorders>
            <w:vAlign w:val="top"/>
          </w:tcPr>
          <w:p>
            <w:pPr>
              <w:jc w:val="center"/>
            </w:pPr>
            <w:r>
              <w:rPr>
                <w:b/>
                <w:sz w:val="21"/>
              </w:rPr>
              <w:t>镇街</w:t>
            </w:r>
          </w:p>
        </w:tc>
        <w:tc>
          <w:tcPr>
            <w:tcW w:type="dxa" w:w="2005"/>
            <w:tcBorders>
              <w:top w:val="single" w:color="000000" w:sz="4"/>
              <w:left w:val="none" w:color="000000" w:sz="4"/>
              <w:bottom w:val="single" w:color="000000" w:sz="4"/>
              <w:right w:val="single" w:color="000000" w:sz="4"/>
            </w:tcBorders>
            <w:vAlign w:val="top"/>
          </w:tcPr>
          <w:p>
            <w:pPr>
              <w:jc w:val="center"/>
            </w:pPr>
            <w:r>
              <w:rPr>
                <w:b/>
                <w:sz w:val="21"/>
              </w:rPr>
              <w:t>原服务人数（人）</w:t>
            </w:r>
          </w:p>
        </w:tc>
        <w:tc>
          <w:tcPr>
            <w:tcW w:type="dxa" w:w="2095"/>
            <w:tcBorders>
              <w:top w:val="single" w:color="000000" w:sz="4"/>
              <w:left w:val="none" w:color="000000" w:sz="4"/>
              <w:bottom w:val="single" w:color="000000" w:sz="4"/>
              <w:right w:val="single" w:color="000000" w:sz="4"/>
            </w:tcBorders>
            <w:vAlign w:val="top"/>
          </w:tcPr>
          <w:p>
            <w:pPr>
              <w:jc w:val="center"/>
            </w:pPr>
            <w:r>
              <w:rPr>
                <w:b/>
                <w:sz w:val="21"/>
              </w:rPr>
              <w:t>预计新增</w:t>
            </w:r>
          </w:p>
          <w:p>
            <w:pPr>
              <w:jc w:val="center"/>
            </w:pPr>
            <w:r>
              <w:rPr>
                <w:b/>
                <w:sz w:val="21"/>
              </w:rPr>
              <w:t>服务人数（人）</w:t>
            </w:r>
          </w:p>
        </w:tc>
        <w:tc>
          <w:tcPr>
            <w:tcW w:type="dxa" w:w="2261"/>
            <w:tcBorders>
              <w:top w:val="single" w:color="000000" w:sz="4"/>
              <w:left w:val="none" w:color="000000" w:sz="4"/>
              <w:bottom w:val="single" w:color="000000" w:sz="4"/>
              <w:right w:val="single" w:color="000000" w:sz="4"/>
            </w:tcBorders>
            <w:vAlign w:val="top"/>
          </w:tcPr>
          <w:p>
            <w:pPr>
              <w:jc w:val="center"/>
            </w:pPr>
            <w:r>
              <w:rPr>
                <w:b/>
                <w:sz w:val="21"/>
              </w:rPr>
              <w:t>预计总服务人数（人）</w:t>
            </w:r>
          </w:p>
        </w:tc>
      </w:tr>
      <w:tr>
        <w:tc>
          <w:tcPr>
            <w:tcW w:type="dxa" w:w="1945"/>
            <w:tcBorders>
              <w:top w:val="none" w:color="000000" w:sz="4"/>
              <w:left w:val="single" w:color="000000" w:sz="4"/>
              <w:bottom w:val="single" w:color="000000" w:sz="4"/>
              <w:right w:val="single" w:color="000000" w:sz="4"/>
            </w:tcBorders>
            <w:vAlign w:val="top"/>
          </w:tcPr>
          <w:p>
            <w:pPr>
              <w:jc w:val="center"/>
            </w:pPr>
            <w:r>
              <w:rPr>
                <w:sz w:val="21"/>
              </w:rPr>
              <w:t>祖庙街道</w:t>
            </w:r>
          </w:p>
        </w:tc>
        <w:tc>
          <w:tcPr>
            <w:tcW w:type="dxa" w:w="2005"/>
            <w:tcBorders>
              <w:top w:val="none" w:color="000000" w:sz="4"/>
              <w:left w:val="none" w:color="000000" w:sz="4"/>
              <w:bottom w:val="single" w:color="000000" w:sz="4"/>
              <w:right w:val="single" w:color="000000" w:sz="4"/>
            </w:tcBorders>
            <w:vAlign w:val="top"/>
          </w:tcPr>
          <w:p>
            <w:pPr>
              <w:jc w:val="center"/>
            </w:pPr>
            <w:r>
              <w:rPr>
                <w:sz w:val="21"/>
              </w:rPr>
              <w:t>57</w:t>
            </w:r>
          </w:p>
        </w:tc>
        <w:tc>
          <w:tcPr>
            <w:tcW w:type="dxa" w:w="2095"/>
            <w:tcBorders>
              <w:top w:val="none" w:color="000000" w:sz="4"/>
              <w:left w:val="none" w:color="000000" w:sz="4"/>
              <w:bottom w:val="single" w:color="000000" w:sz="4"/>
              <w:right w:val="single" w:color="000000" w:sz="4"/>
            </w:tcBorders>
            <w:vAlign w:val="top"/>
          </w:tcPr>
          <w:p>
            <w:pPr>
              <w:jc w:val="center"/>
            </w:pPr>
            <w:r>
              <w:rPr>
                <w:sz w:val="21"/>
              </w:rPr>
              <w:t>73</w:t>
            </w:r>
          </w:p>
        </w:tc>
        <w:tc>
          <w:tcPr>
            <w:tcW w:type="dxa" w:w="2261"/>
            <w:tcBorders>
              <w:top w:val="none" w:color="000000" w:sz="4"/>
              <w:left w:val="none" w:color="000000" w:sz="4"/>
              <w:bottom w:val="single" w:color="000000" w:sz="4"/>
              <w:right w:val="single" w:color="000000" w:sz="4"/>
            </w:tcBorders>
            <w:vAlign w:val="top"/>
          </w:tcPr>
          <w:p>
            <w:pPr>
              <w:jc w:val="center"/>
            </w:pPr>
            <w:r>
              <w:rPr>
                <w:sz w:val="21"/>
              </w:rPr>
              <w:t>130</w:t>
            </w:r>
          </w:p>
        </w:tc>
      </w:tr>
      <w:tr>
        <w:tc>
          <w:tcPr>
            <w:tcW w:type="dxa" w:w="1945"/>
            <w:tcBorders>
              <w:top w:val="none" w:color="000000" w:sz="4"/>
              <w:left w:val="single" w:color="000000" w:sz="4"/>
              <w:bottom w:val="single" w:color="000000" w:sz="4"/>
              <w:right w:val="single" w:color="000000" w:sz="4"/>
            </w:tcBorders>
            <w:vAlign w:val="top"/>
          </w:tcPr>
          <w:p>
            <w:pPr>
              <w:jc w:val="center"/>
            </w:pPr>
            <w:r>
              <w:rPr>
                <w:sz w:val="21"/>
              </w:rPr>
              <w:t>张槎街道</w:t>
            </w:r>
          </w:p>
        </w:tc>
        <w:tc>
          <w:tcPr>
            <w:tcW w:type="dxa" w:w="2005"/>
            <w:tcBorders>
              <w:top w:val="none" w:color="000000" w:sz="4"/>
              <w:left w:val="none" w:color="000000" w:sz="4"/>
              <w:bottom w:val="single" w:color="000000" w:sz="4"/>
              <w:right w:val="single" w:color="000000" w:sz="4"/>
            </w:tcBorders>
            <w:vAlign w:val="top"/>
          </w:tcPr>
          <w:p>
            <w:pPr>
              <w:jc w:val="center"/>
            </w:pPr>
            <w:r>
              <w:rPr>
                <w:sz w:val="21"/>
              </w:rPr>
              <w:t>23</w:t>
            </w:r>
          </w:p>
        </w:tc>
        <w:tc>
          <w:tcPr>
            <w:tcW w:type="dxa" w:w="2095"/>
            <w:tcBorders>
              <w:top w:val="none" w:color="000000" w:sz="4"/>
              <w:left w:val="none" w:color="000000" w:sz="4"/>
              <w:bottom w:val="single" w:color="000000" w:sz="4"/>
              <w:right w:val="single" w:color="000000" w:sz="4"/>
            </w:tcBorders>
            <w:vAlign w:val="top"/>
          </w:tcPr>
          <w:p>
            <w:pPr>
              <w:jc w:val="center"/>
            </w:pPr>
            <w:r>
              <w:rPr>
                <w:sz w:val="21"/>
              </w:rPr>
              <w:t>35</w:t>
            </w:r>
          </w:p>
        </w:tc>
        <w:tc>
          <w:tcPr>
            <w:tcW w:type="dxa" w:w="2261"/>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945"/>
            <w:tcBorders>
              <w:top w:val="none" w:color="000000" w:sz="4"/>
              <w:left w:val="single" w:color="000000" w:sz="4"/>
              <w:bottom w:val="single" w:color="000000" w:sz="4"/>
              <w:right w:val="single" w:color="000000" w:sz="4"/>
            </w:tcBorders>
            <w:vAlign w:val="top"/>
          </w:tcPr>
          <w:p>
            <w:pPr>
              <w:jc w:val="center"/>
            </w:pPr>
            <w:r>
              <w:rPr>
                <w:sz w:val="21"/>
              </w:rPr>
              <w:t>石湾镇街道</w:t>
            </w:r>
          </w:p>
        </w:tc>
        <w:tc>
          <w:tcPr>
            <w:tcW w:type="dxa" w:w="2005"/>
            <w:tcBorders>
              <w:top w:val="none" w:color="000000" w:sz="4"/>
              <w:left w:val="none" w:color="000000" w:sz="4"/>
              <w:bottom w:val="single" w:color="000000" w:sz="4"/>
              <w:right w:val="single" w:color="000000" w:sz="4"/>
            </w:tcBorders>
            <w:vAlign w:val="top"/>
          </w:tcPr>
          <w:p>
            <w:pPr>
              <w:jc w:val="center"/>
            </w:pPr>
            <w:r>
              <w:rPr>
                <w:sz w:val="21"/>
              </w:rPr>
              <w:t>33</w:t>
            </w:r>
          </w:p>
        </w:tc>
        <w:tc>
          <w:tcPr>
            <w:tcW w:type="dxa" w:w="2095"/>
            <w:tcBorders>
              <w:top w:val="none" w:color="000000" w:sz="4"/>
              <w:left w:val="none" w:color="000000" w:sz="4"/>
              <w:bottom w:val="single" w:color="000000" w:sz="4"/>
              <w:right w:val="single" w:color="000000" w:sz="4"/>
            </w:tcBorders>
            <w:vAlign w:val="top"/>
          </w:tcPr>
          <w:p>
            <w:pPr>
              <w:jc w:val="center"/>
            </w:pPr>
            <w:r>
              <w:rPr>
                <w:sz w:val="21"/>
              </w:rPr>
              <w:t>105</w:t>
            </w:r>
          </w:p>
        </w:tc>
        <w:tc>
          <w:tcPr>
            <w:tcW w:type="dxa" w:w="2261"/>
            <w:tcBorders>
              <w:top w:val="none" w:color="000000" w:sz="4"/>
              <w:left w:val="none" w:color="000000" w:sz="4"/>
              <w:bottom w:val="single" w:color="000000" w:sz="4"/>
              <w:right w:val="single" w:color="000000" w:sz="4"/>
            </w:tcBorders>
            <w:vAlign w:val="top"/>
          </w:tcPr>
          <w:p>
            <w:pPr>
              <w:jc w:val="center"/>
            </w:pPr>
            <w:r>
              <w:rPr>
                <w:sz w:val="21"/>
              </w:rPr>
              <w:t>138</w:t>
            </w:r>
          </w:p>
        </w:tc>
      </w:tr>
      <w:tr>
        <w:tc>
          <w:tcPr>
            <w:tcW w:type="dxa" w:w="1945"/>
            <w:tcBorders>
              <w:top w:val="none" w:color="000000" w:sz="4"/>
              <w:left w:val="single" w:color="000000" w:sz="4"/>
              <w:bottom w:val="single" w:color="000000" w:sz="4"/>
              <w:right w:val="single" w:color="000000" w:sz="4"/>
            </w:tcBorders>
            <w:vAlign w:val="top"/>
          </w:tcPr>
          <w:p>
            <w:pPr>
              <w:jc w:val="center"/>
            </w:pPr>
            <w:r>
              <w:rPr>
                <w:sz w:val="21"/>
              </w:rPr>
              <w:t>南庄镇</w:t>
            </w:r>
          </w:p>
        </w:tc>
        <w:tc>
          <w:tcPr>
            <w:tcW w:type="dxa" w:w="2005"/>
            <w:tcBorders>
              <w:top w:val="none" w:color="000000" w:sz="4"/>
              <w:left w:val="none" w:color="000000" w:sz="4"/>
              <w:bottom w:val="single" w:color="000000" w:sz="4"/>
              <w:right w:val="single" w:color="000000" w:sz="4"/>
            </w:tcBorders>
            <w:vAlign w:val="top"/>
          </w:tcPr>
          <w:p>
            <w:pPr>
              <w:jc w:val="center"/>
            </w:pPr>
            <w:r>
              <w:rPr>
                <w:sz w:val="21"/>
              </w:rPr>
              <w:t>8</w:t>
            </w:r>
          </w:p>
        </w:tc>
        <w:tc>
          <w:tcPr>
            <w:tcW w:type="dxa" w:w="2095"/>
            <w:tcBorders>
              <w:top w:val="none" w:color="000000" w:sz="4"/>
              <w:left w:val="none" w:color="000000" w:sz="4"/>
              <w:bottom w:val="single" w:color="000000" w:sz="4"/>
              <w:right w:val="single" w:color="000000" w:sz="4"/>
            </w:tcBorders>
            <w:vAlign w:val="top"/>
          </w:tcPr>
          <w:p>
            <w:pPr>
              <w:jc w:val="center"/>
            </w:pPr>
            <w:r>
              <w:rPr>
                <w:sz w:val="21"/>
              </w:rPr>
              <w:t>0</w:t>
            </w:r>
          </w:p>
        </w:tc>
        <w:tc>
          <w:tcPr>
            <w:tcW w:type="dxa" w:w="2261"/>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1945"/>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005"/>
            <w:tcBorders>
              <w:top w:val="none" w:color="000000" w:sz="4"/>
              <w:left w:val="none" w:color="000000" w:sz="4"/>
              <w:bottom w:val="single" w:color="000000" w:sz="4"/>
              <w:right w:val="single" w:color="000000" w:sz="4"/>
            </w:tcBorders>
            <w:vAlign w:val="top"/>
          </w:tcPr>
          <w:p>
            <w:pPr>
              <w:jc w:val="center"/>
            </w:pPr>
            <w:r>
              <w:rPr>
                <w:sz w:val="21"/>
              </w:rPr>
              <w:t>121</w:t>
            </w:r>
          </w:p>
        </w:tc>
        <w:tc>
          <w:tcPr>
            <w:tcW w:type="dxa" w:w="2095"/>
            <w:tcBorders>
              <w:top w:val="none" w:color="000000" w:sz="4"/>
              <w:left w:val="none" w:color="000000" w:sz="4"/>
              <w:bottom w:val="single" w:color="000000" w:sz="4"/>
              <w:right w:val="single" w:color="000000" w:sz="4"/>
            </w:tcBorders>
            <w:vAlign w:val="top"/>
          </w:tcPr>
          <w:p>
            <w:pPr>
              <w:jc w:val="center"/>
            </w:pPr>
            <w:r>
              <w:rPr>
                <w:sz w:val="21"/>
              </w:rPr>
              <w:t>213</w:t>
            </w:r>
          </w:p>
        </w:tc>
        <w:tc>
          <w:tcPr>
            <w:tcW w:type="dxa" w:w="2261"/>
            <w:tcBorders>
              <w:top w:val="none" w:color="000000" w:sz="4"/>
              <w:left w:val="none" w:color="000000" w:sz="4"/>
              <w:bottom w:val="single" w:color="000000" w:sz="4"/>
              <w:right w:val="single" w:color="000000" w:sz="4"/>
            </w:tcBorders>
            <w:vAlign w:val="top"/>
          </w:tcPr>
          <w:p>
            <w:pPr>
              <w:jc w:val="center"/>
            </w:pPr>
            <w:r>
              <w:rPr>
                <w:sz w:val="21"/>
              </w:rPr>
              <w:t>334</w:t>
            </w:r>
          </w:p>
        </w:tc>
      </w:tr>
    </w:tbl>
    <w:p>
      <w:pPr>
        <w:jc w:val="left"/>
      </w:pPr>
      <w:r>
        <w:rPr>
          <w:b/>
          <w:color w:val="000000"/>
          <w:sz w:val="21"/>
        </w:rPr>
        <w:t>（五）服务内容</w:t>
      </w:r>
    </w:p>
    <w:p>
      <w:pPr>
        <w:ind w:firstLine="420"/>
        <w:jc w:val="left"/>
      </w:pPr>
      <w:r>
        <w:rPr>
          <w:sz w:val="21"/>
        </w:rPr>
        <w:t>1.</w:t>
      </w:r>
      <w:r>
        <w:rPr>
          <w:sz w:val="21"/>
        </w:rPr>
        <w:t>康复训练：由具有相应专业资质的医生、治疗师上门为肢体残疾人提供康复训练，包括功能评估、运动治疗、作业治疗、语言治疗、心理治疗、物理治疗、生活能力训练和个别训练等，同时为服务对象的照顾者提供居家训练及支援，以加强他们照顾残疾人的能力，帮助他们克服日常家居生活中遇到的相关问题。</w:t>
      </w:r>
    </w:p>
    <w:p>
      <w:pPr>
        <w:ind w:firstLine="420"/>
        <w:jc w:val="left"/>
      </w:pPr>
      <w:r>
        <w:rPr>
          <w:sz w:val="21"/>
        </w:rPr>
        <w:t>2.</w:t>
      </w:r>
      <w:r>
        <w:rPr>
          <w:sz w:val="21"/>
        </w:rPr>
        <w:t>康复护理：由具有相应专业资质的护理人员上门为肢体残疾人提供翻身、饮食护理、洗漱护理及排泄护理等各项康复护理服务。</w:t>
      </w:r>
    </w:p>
    <w:p>
      <w:pPr>
        <w:ind w:firstLine="420"/>
        <w:jc w:val="left"/>
      </w:pPr>
      <w:r>
        <w:rPr>
          <w:sz w:val="21"/>
        </w:rPr>
        <w:t>3.</w:t>
      </w:r>
      <w:r>
        <w:rPr>
          <w:sz w:val="21"/>
        </w:rPr>
        <w:t>其他服务：</w:t>
      </w:r>
      <w:r>
        <w:rPr>
          <w:sz w:val="21"/>
        </w:rPr>
        <w:t>①</w:t>
      </w:r>
      <w:r>
        <w:rPr>
          <w:sz w:val="21"/>
        </w:rPr>
        <w:t>建立康复训练档案：为服务对象建立康复训练档案及健康档案，包括训练登记、训练评估、训练计划、训练记录、评估与总结和评估标准等内容，作为康复训练工作规范化的重要措施；</w:t>
      </w:r>
      <w:r>
        <w:rPr>
          <w:sz w:val="21"/>
        </w:rPr>
        <w:t>②</w:t>
      </w:r>
      <w:r>
        <w:rPr>
          <w:sz w:val="21"/>
        </w:rPr>
        <w:t>社区家庭康复指导：为康复训练对象及其监护人员提供康复咨询、康复训练的基本知识和技能培训，并做好服务对象后续跟踪和转介服务；</w:t>
      </w:r>
      <w:r>
        <w:rPr>
          <w:sz w:val="21"/>
        </w:rPr>
        <w:t>③</w:t>
      </w:r>
      <w:r>
        <w:rPr>
          <w:sz w:val="21"/>
        </w:rPr>
        <w:t>做好数据统计和分析，建立业务数据电子表格资料，对相关服务数据做好整理，并定期进行统计、分析；</w:t>
      </w:r>
      <w:r>
        <w:rPr>
          <w:sz w:val="21"/>
        </w:rPr>
        <w:t>④</w:t>
      </w:r>
      <w:r>
        <w:rPr>
          <w:sz w:val="21"/>
        </w:rPr>
        <w:t>为新一年度有居家康复服务需求的肢体残疾人进行前期评估。</w:t>
      </w:r>
    </w:p>
    <w:p>
      <w:pPr>
        <w:jc w:val="left"/>
      </w:pPr>
      <w:r>
        <w:rPr>
          <w:b/>
          <w:color w:val="000000"/>
          <w:sz w:val="21"/>
        </w:rPr>
        <w:t>（六）人员配备要求</w:t>
      </w:r>
    </w:p>
    <w:p>
      <w:pPr>
        <w:ind w:firstLine="420"/>
        <w:jc w:val="left"/>
      </w:pPr>
      <w:r>
        <w:rPr>
          <w:sz w:val="21"/>
        </w:rPr>
        <w:t>1.</w:t>
      </w:r>
      <w:r>
        <w:rPr>
          <w:sz w:val="21"/>
        </w:rPr>
        <w:t>乙方需根据服务对象的人数及服务时长数，配备</w:t>
      </w:r>
      <w:r>
        <w:rPr>
          <w:sz w:val="21"/>
        </w:rPr>
        <w:t>15</w:t>
      </w:r>
      <w:r>
        <w:rPr>
          <w:sz w:val="21"/>
        </w:rPr>
        <w:t>人的工作人员（含康复医生、治疗师和护士）。其中有</w:t>
      </w:r>
      <w:r>
        <w:rPr>
          <w:sz w:val="21"/>
        </w:rPr>
        <w:t>1</w:t>
      </w:r>
      <w:r>
        <w:rPr>
          <w:sz w:val="21"/>
        </w:rPr>
        <w:t>名康复医生，需持有执业证书；治疗师和护士均需持有执业证书。乙方必须保证项目实施过程中的人员至少满足以上要求，甲方有权根据实际情况要求乙方增加服务人员。</w:t>
      </w:r>
    </w:p>
    <w:p>
      <w:pPr>
        <w:ind w:firstLine="420"/>
        <w:jc w:val="left"/>
      </w:pPr>
      <w:r>
        <w:rPr>
          <w:sz w:val="21"/>
        </w:rPr>
        <w:t>2.</w:t>
      </w:r>
      <w:r>
        <w:rPr>
          <w:sz w:val="21"/>
        </w:rPr>
        <w:t>乙方须保证项目实施过程中的人员与乙方投标（响应）文件内拟投入的人员一致。在项目实施过程中，拟投入的人员不可变更，如因特殊情况，如人员离职等确需变更的，须提前</w:t>
      </w:r>
      <w:r>
        <w:rPr>
          <w:sz w:val="21"/>
        </w:rPr>
        <w:t>15</w:t>
      </w:r>
      <w:r>
        <w:rPr>
          <w:sz w:val="21"/>
        </w:rPr>
        <w:t>天向甲方或丙方提交书面申请，经甲方或丙方书面同意后方可变更且变更人员资质须等于或高于原人员资质。如在项目实施过程中乙方投标（响应）文件内拟投入的人员不能满足实际要求的，乙方应无条件及时补充具有相应资质的人员。项目实施过程中，如总服务人数与招标文件内预计人数有较大变化的，经甲方或丙方同意后，乙方可根据总服务人数调整专业康复服务人员数量，但应保证在项目实施过程中配备的专业康复服务人员配比总服务人数比例不低于</w:t>
      </w:r>
      <w:r>
        <w:rPr>
          <w:sz w:val="21"/>
        </w:rPr>
        <w:t>5%</w:t>
      </w:r>
      <w:r>
        <w:rPr>
          <w:sz w:val="21"/>
        </w:rPr>
        <w:t>。</w:t>
      </w:r>
    </w:p>
    <w:p>
      <w:pPr>
        <w:jc w:val="left"/>
      </w:pPr>
      <w:r>
        <w:rPr>
          <w:b/>
          <w:sz w:val="21"/>
        </w:rPr>
        <w:t>（七）其他</w:t>
      </w:r>
    </w:p>
    <w:p>
      <w:pPr>
        <w:jc w:val="left"/>
      </w:pPr>
      <w:r>
        <w:rPr>
          <w:sz w:val="21"/>
        </w:rPr>
        <w:t>（</w:t>
      </w:r>
      <w:r>
        <w:rPr>
          <w:sz w:val="21"/>
        </w:rPr>
        <w:t>1</w:t>
      </w:r>
      <w:r>
        <w:rPr>
          <w:sz w:val="21"/>
        </w:rPr>
        <w:t>）本项目甲方为佛山市禅城区民政局，服务管理单位为佛山市禅城区残疾人联合会，由佛山市禅城区残疾人联合会对乙方提供的服务进行监管与考核。</w:t>
      </w:r>
    </w:p>
    <w:p>
      <w:pPr>
        <w:jc w:val="left"/>
      </w:pPr>
      <w:r>
        <w:rPr>
          <w:sz w:val="21"/>
        </w:rPr>
        <w:t>（</w:t>
      </w:r>
      <w:r>
        <w:rPr>
          <w:sz w:val="21"/>
        </w:rPr>
        <w:t>2</w:t>
      </w:r>
      <w:r>
        <w:rPr>
          <w:sz w:val="21"/>
        </w:rPr>
        <w:t>）乙方应保障服务人员在项目服务过程中的人身与财产安全，服务人员在项目服务工作（含路途）中出现的安全风险、以及在服务过程中造成的被服务对象安全风险均由乙方承担。</w:t>
      </w:r>
    </w:p>
    <w:p>
      <w:pPr>
        <w:jc w:val="left"/>
      </w:pPr>
      <w:r>
        <w:rPr>
          <w:b/>
          <w:sz w:val="21"/>
        </w:rPr>
        <w:t>三、考核评估</w:t>
      </w:r>
    </w:p>
    <w:p>
      <w:pPr>
        <w:ind w:firstLine="420"/>
        <w:jc w:val="left"/>
      </w:pPr>
      <w:r>
        <w:rPr>
          <w:sz w:val="21"/>
        </w:rPr>
        <w:t>为保证服务质量，甲方或丙方聘请第三方评估机构对乙方机构每季度进行一次考核，每次考核</w:t>
      </w:r>
      <w:r>
        <w:rPr>
          <w:sz w:val="21"/>
        </w:rPr>
        <w:t>100</w:t>
      </w:r>
      <w:r>
        <w:rPr>
          <w:sz w:val="21"/>
        </w:rPr>
        <w:t>分为满分，</w:t>
      </w:r>
      <w:r>
        <w:rPr>
          <w:sz w:val="21"/>
        </w:rPr>
        <w:t>85</w:t>
      </w:r>
      <w:r>
        <w:rPr>
          <w:sz w:val="21"/>
        </w:rPr>
        <w:t>分为合格，不满</w:t>
      </w:r>
      <w:r>
        <w:rPr>
          <w:sz w:val="21"/>
        </w:rPr>
        <w:t>85</w:t>
      </w:r>
      <w:r>
        <w:rPr>
          <w:sz w:val="21"/>
        </w:rPr>
        <w:t>分为不合格，以</w:t>
      </w:r>
      <w:r>
        <w:rPr>
          <w:sz w:val="21"/>
        </w:rPr>
        <w:t>85</w:t>
      </w:r>
      <w:r>
        <w:rPr>
          <w:sz w:val="21"/>
        </w:rPr>
        <w:t>分为界，每低</w:t>
      </w:r>
      <w:r>
        <w:rPr>
          <w:sz w:val="21"/>
        </w:rPr>
        <w:t>1</w:t>
      </w:r>
      <w:r>
        <w:rPr>
          <w:sz w:val="21"/>
        </w:rPr>
        <w:t>分扣发当季度</w:t>
      </w:r>
      <w:r>
        <w:rPr>
          <w:sz w:val="21"/>
        </w:rPr>
        <w:t>1%</w:t>
      </w:r>
      <w:r>
        <w:rPr>
          <w:sz w:val="21"/>
        </w:rPr>
        <w:t>服务费，连续两个（或以上）季度不合格的，甲方或丙方有权解除合同。详见附件《禅城区肢体残疾人居家康复服务采购质量季度考核表》。</w:t>
      </w:r>
    </w:p>
    <w:p>
      <w:pPr>
        <w:jc w:val="left"/>
      </w:pPr>
      <w:r>
        <w:rPr>
          <w:b/>
          <w:sz w:val="21"/>
        </w:rPr>
        <w:t>四、服务对照执行标准</w:t>
      </w:r>
    </w:p>
    <w:p>
      <w:pPr>
        <w:ind w:firstLine="210"/>
        <w:jc w:val="left"/>
      </w:pPr>
      <w:r>
        <w:rPr>
          <w:color w:val="000000"/>
          <w:sz w:val="21"/>
        </w:rPr>
        <w:t>1.</w:t>
      </w:r>
      <w:r>
        <w:rPr>
          <w:color w:val="000000"/>
          <w:sz w:val="21"/>
        </w:rPr>
        <w:t>符合中华人民共和国国家和履约地相关安全质量标准、行业技术规范标准；</w:t>
      </w:r>
    </w:p>
    <w:p>
      <w:pPr>
        <w:ind w:firstLine="210"/>
        <w:jc w:val="left"/>
      </w:pPr>
      <w:r>
        <w:rPr>
          <w:color w:val="000000"/>
          <w:sz w:val="21"/>
        </w:rPr>
        <w:t>2.</w:t>
      </w:r>
      <w:r>
        <w:rPr>
          <w:color w:val="000000"/>
          <w:sz w:val="21"/>
        </w:rPr>
        <w:t>符合采购文件和响应承诺中各方共同认可的合理要求；</w:t>
      </w:r>
    </w:p>
    <w:p>
      <w:pPr>
        <w:ind w:firstLine="420"/>
        <w:jc w:val="left"/>
      </w:pPr>
      <w:r>
        <w:rPr>
          <w:color w:val="000000"/>
          <w:sz w:val="21"/>
        </w:rPr>
        <w:t>上述各类标准与法规必须是有关官方机构最新发布的现行标准版本。</w:t>
      </w:r>
    </w:p>
    <w:p>
      <w:pPr>
        <w:jc w:val="left"/>
      </w:pPr>
      <w:r>
        <w:rPr>
          <w:b/>
          <w:sz w:val="21"/>
        </w:rPr>
        <w:t>五、投诉跟踪服务要求</w:t>
      </w:r>
    </w:p>
    <w:p>
      <w:pPr>
        <w:jc w:val="left"/>
      </w:pPr>
      <w:r>
        <w:rPr>
          <w:color w:val="000000"/>
          <w:sz w:val="21"/>
        </w:rPr>
        <w:t>1.</w:t>
      </w:r>
      <w:r>
        <w:rPr>
          <w:color w:val="000000"/>
          <w:sz w:val="21"/>
        </w:rPr>
        <w:t>乙方须提供常设的投诉热线服务，并对投诉内容进行及时跟踪、回访。对甲方</w:t>
      </w:r>
      <w:r>
        <w:rPr>
          <w:sz w:val="21"/>
        </w:rPr>
        <w:t>或丙方</w:t>
      </w:r>
      <w:r>
        <w:rPr>
          <w:color w:val="000000"/>
          <w:sz w:val="21"/>
        </w:rPr>
        <w:t>的投诉与通知，必须按甲方</w:t>
      </w:r>
      <w:r>
        <w:rPr>
          <w:sz w:val="21"/>
        </w:rPr>
        <w:t>或丙方</w:t>
      </w:r>
      <w:r>
        <w:rPr>
          <w:color w:val="000000"/>
          <w:sz w:val="21"/>
        </w:rPr>
        <w:t>指定的时间内处理完毕，若特发事件不能在短时间内解决，乙方必须采取应急措施，或按甲方</w:t>
      </w:r>
      <w:r>
        <w:rPr>
          <w:sz w:val="21"/>
        </w:rPr>
        <w:t>或丙方</w:t>
      </w:r>
      <w:r>
        <w:rPr>
          <w:color w:val="000000"/>
          <w:sz w:val="21"/>
        </w:rPr>
        <w:t>认可的应急方案执行，不得影响甲方</w:t>
      </w:r>
      <w:r>
        <w:rPr>
          <w:sz w:val="21"/>
        </w:rPr>
        <w:t>或丙方</w:t>
      </w:r>
      <w:r>
        <w:rPr>
          <w:color w:val="000000"/>
          <w:sz w:val="21"/>
        </w:rPr>
        <w:t>的正常工作业务。</w:t>
      </w:r>
    </w:p>
    <w:p>
      <w:pPr>
        <w:jc w:val="left"/>
      </w:pPr>
      <w:r>
        <w:rPr>
          <w:color w:val="000000"/>
          <w:sz w:val="21"/>
        </w:rPr>
        <w:t>2.</w:t>
      </w:r>
      <w:r>
        <w:rPr>
          <w:color w:val="000000"/>
          <w:sz w:val="21"/>
        </w:rPr>
        <w:t>服务期内，甲方</w:t>
      </w:r>
      <w:r>
        <w:rPr>
          <w:sz w:val="21"/>
        </w:rPr>
        <w:t>或丙方</w:t>
      </w:r>
      <w:r>
        <w:rPr>
          <w:color w:val="000000"/>
          <w:sz w:val="21"/>
        </w:rPr>
        <w:t>有权按本项目的管理要求对乙方进行不定期抽查检查，若对不合格的管理服务提出警告后，仍未得到有效解决时，甲方</w:t>
      </w:r>
      <w:r>
        <w:rPr>
          <w:sz w:val="21"/>
        </w:rPr>
        <w:t>或丙方</w:t>
      </w:r>
      <w:r>
        <w:rPr>
          <w:color w:val="000000"/>
          <w:sz w:val="21"/>
        </w:rPr>
        <w:t>有权终止管理合同。</w:t>
      </w:r>
    </w:p>
    <w:p>
      <w:pPr>
        <w:jc w:val="left"/>
      </w:pPr>
      <w:r>
        <w:rPr>
          <w:color w:val="000000"/>
          <w:sz w:val="21"/>
        </w:rPr>
        <w:t>3.</w:t>
      </w:r>
      <w:r>
        <w:rPr>
          <w:color w:val="000000"/>
          <w:sz w:val="21"/>
        </w:rPr>
        <w:t>乙方服务机构名称及地址：</w:t>
      </w:r>
      <w:r>
        <w:rPr>
          <w:sz w:val="21"/>
        </w:rPr>
        <w:t xml:space="preserve"> </w:t>
      </w:r>
    </w:p>
    <w:p>
      <w:pPr>
        <w:jc w:val="left"/>
      </w:pPr>
      <w:r>
        <w:rPr>
          <w:color w:val="000000"/>
          <w:sz w:val="21"/>
        </w:rPr>
        <w:t>联系人</w:t>
      </w:r>
      <w:r>
        <w:rPr>
          <w:color w:val="000000"/>
          <w:sz w:val="21"/>
        </w:rPr>
        <w:t>1</w:t>
      </w:r>
      <w:r>
        <w:rPr>
          <w:color w:val="000000"/>
          <w:sz w:val="21"/>
        </w:rPr>
        <w:t>：         ，联系电话：           ，手机：         ；</w:t>
      </w:r>
    </w:p>
    <w:p>
      <w:pPr>
        <w:jc w:val="left"/>
      </w:pPr>
      <w:r>
        <w:rPr>
          <w:color w:val="000000"/>
          <w:sz w:val="21"/>
        </w:rPr>
        <w:t>联系人</w:t>
      </w:r>
      <w:r>
        <w:rPr>
          <w:color w:val="000000"/>
          <w:sz w:val="21"/>
        </w:rPr>
        <w:t>2</w:t>
      </w:r>
      <w:r>
        <w:rPr>
          <w:color w:val="000000"/>
          <w:sz w:val="21"/>
        </w:rPr>
        <w:t>：         ，联系电话：           ，手机：         ；</w:t>
      </w:r>
    </w:p>
    <w:p>
      <w:pPr>
        <w:jc w:val="left"/>
      </w:pPr>
      <w:r>
        <w:rPr>
          <w:color w:val="000000"/>
          <w:sz w:val="21"/>
        </w:rPr>
        <w:t>服务专线电话：</w:t>
      </w:r>
    </w:p>
    <w:p>
      <w:pPr>
        <w:jc w:val="left"/>
      </w:pPr>
      <w:r>
        <w:rPr>
          <w:color w:val="000000"/>
          <w:sz w:val="21"/>
        </w:rPr>
        <w:t>4.</w:t>
      </w:r>
      <w:r>
        <w:rPr>
          <w:color w:val="000000"/>
          <w:sz w:val="21"/>
        </w:rPr>
        <w:t>其他服务要求：（补充内容不得对采购文件和投标</w:t>
      </w:r>
      <w:r>
        <w:rPr>
          <w:color w:val="000000"/>
          <w:sz w:val="21"/>
        </w:rPr>
        <w:t>/</w:t>
      </w:r>
      <w:r>
        <w:rPr>
          <w:color w:val="000000"/>
          <w:sz w:val="21"/>
        </w:rPr>
        <w:t>响应文件作实质性修改）</w:t>
      </w:r>
    </w:p>
    <w:p>
      <w:pPr>
        <w:jc w:val="left"/>
      </w:pPr>
      <w:r>
        <w:rPr>
          <w:sz w:val="21"/>
          <w:u w:val="single"/>
        </w:rPr>
        <w:t xml:space="preserve">                                                          </w:t>
      </w:r>
      <w:r>
        <w:rPr>
          <w:color w:val="000000"/>
          <w:sz w:val="21"/>
        </w:rPr>
        <w:t>。</w:t>
      </w:r>
    </w:p>
    <w:p>
      <w:pPr>
        <w:jc w:val="left"/>
      </w:pPr>
      <w:r>
        <w:rPr>
          <w:b/>
          <w:color w:val="000000"/>
          <w:sz w:val="21"/>
        </w:rPr>
        <w:t>六、验收要求</w:t>
      </w:r>
    </w:p>
    <w:p>
      <w:pPr>
        <w:jc w:val="left"/>
      </w:pPr>
      <w:r>
        <w:rPr>
          <w:color w:val="000000"/>
          <w:sz w:val="21"/>
        </w:rPr>
        <w:t>1.</w:t>
      </w:r>
      <w:r>
        <w:rPr>
          <w:color w:val="000000"/>
          <w:sz w:val="21"/>
        </w:rPr>
        <w:t>甲方</w:t>
      </w:r>
      <w:r>
        <w:rPr>
          <w:sz w:val="21"/>
        </w:rPr>
        <w:t>或丙方</w:t>
      </w:r>
      <w:r>
        <w:rPr>
          <w:color w:val="000000"/>
          <w:sz w:val="21"/>
        </w:rPr>
        <w:t>在收到乙方项目验收建议之日起</w:t>
      </w:r>
      <w:r>
        <w:rPr>
          <w:color w:val="000000"/>
          <w:sz w:val="21"/>
        </w:rPr>
        <w:t>7</w:t>
      </w:r>
      <w:r>
        <w:rPr>
          <w:color w:val="000000"/>
          <w:sz w:val="21"/>
        </w:rPr>
        <w:t>日内按照合同的约定对履约情况进行验收。乙方需为验收提供必需的一切条件及相关费用，并提供本项目的相关文档和验收所需资料，积极配合甲方</w:t>
      </w:r>
      <w:r>
        <w:rPr>
          <w:sz w:val="21"/>
        </w:rPr>
        <w:t>或丙方</w:t>
      </w:r>
      <w:r>
        <w:rPr>
          <w:color w:val="000000"/>
          <w:sz w:val="21"/>
        </w:rPr>
        <w:t>完成验收工作。</w:t>
      </w:r>
    </w:p>
    <w:p>
      <w:pPr>
        <w:jc w:val="left"/>
      </w:pPr>
      <w:r>
        <w:rPr>
          <w:color w:val="000000"/>
          <w:sz w:val="21"/>
        </w:rPr>
        <w:t>2.</w:t>
      </w:r>
      <w:r>
        <w:rPr>
          <w:color w:val="000000"/>
          <w:sz w:val="21"/>
        </w:rPr>
        <w:t>其他验收要求：（补充内容不得对采购文件和投标</w:t>
      </w:r>
      <w:r>
        <w:rPr>
          <w:color w:val="000000"/>
          <w:sz w:val="21"/>
        </w:rPr>
        <w:t>/</w:t>
      </w:r>
      <w:r>
        <w:rPr>
          <w:color w:val="000000"/>
          <w:sz w:val="21"/>
        </w:rPr>
        <w:t>响应文件作实质性修改）</w:t>
      </w:r>
    </w:p>
    <w:p>
      <w:pPr>
        <w:ind w:firstLine="420"/>
        <w:jc w:val="left"/>
      </w:pPr>
      <w:r>
        <w:rPr>
          <w:sz w:val="21"/>
          <w:u w:val="single"/>
        </w:rPr>
        <w:t xml:space="preserve">                                                                </w:t>
      </w:r>
      <w:r>
        <w:rPr>
          <w:color w:val="000000"/>
          <w:sz w:val="21"/>
        </w:rPr>
        <w:t>。</w:t>
      </w:r>
    </w:p>
    <w:p>
      <w:pPr>
        <w:jc w:val="left"/>
      </w:pPr>
      <w:r>
        <w:rPr>
          <w:b/>
          <w:color w:val="000000"/>
          <w:sz w:val="21"/>
        </w:rPr>
        <w:t>七、知识产权和保密要求</w:t>
      </w:r>
    </w:p>
    <w:p>
      <w:pPr>
        <w:jc w:val="left"/>
      </w:pPr>
      <w:r>
        <w:rPr>
          <w:sz w:val="21"/>
        </w:rPr>
        <w:t>1.</w:t>
      </w:r>
      <w:r>
        <w:rPr>
          <w:sz w:val="21"/>
        </w:rPr>
        <w:t>乙方应保证本项目的投标（响应）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left"/>
      </w:pPr>
      <w:r>
        <w:rPr>
          <w:sz w:val="21"/>
        </w:rPr>
        <w:t>2.</w:t>
      </w:r>
      <w:r>
        <w:rPr>
          <w:sz w:val="21"/>
        </w:rPr>
        <w:t>项目实施过程中至乙方正式向甲方或丙方交付技术文档资料时止，乙方必须采取措施对本项目实施过程中的数据、源代码、技术文档等资料保密，否则，由于乙方过错导致的上述资料泄密的，乙方必须承担一切责任。项目完成后，甲、乙、丙方均有责任对本项目的技术保密承担责任。</w:t>
      </w:r>
    </w:p>
    <w:p>
      <w:pPr>
        <w:jc w:val="left"/>
      </w:pPr>
      <w:r>
        <w:rPr>
          <w:sz w:val="21"/>
        </w:rPr>
        <w:t>1</w:t>
      </w:r>
      <w:r>
        <w:rPr>
          <w:sz w:val="21"/>
        </w:rPr>
        <w:t>）未经甲方或丙方事先书面同意，乙方不得将由甲方或丙方为本合同提供的服务对象信息、条文、规格、计划、图纸、模型、样品或资料提供给与本合同无关的任何第三方，不得将其用于履行本合同之外的其它用途。即使向与履行本合同有关的人员提供，也应注意保密并限于履行合同所必需的范围。</w:t>
      </w:r>
    </w:p>
    <w:p>
      <w:pPr>
        <w:jc w:val="left"/>
      </w:pPr>
      <w:r>
        <w:rPr>
          <w:sz w:val="21"/>
        </w:rPr>
        <w:t>2</w:t>
      </w:r>
      <w:r>
        <w:rPr>
          <w:sz w:val="21"/>
        </w:rPr>
        <w:t>）除了合同本身之外，上款所列举的任何物件均是甲方或丙方的财产。如果甲方或丙方有要求，乙方在完成合同后应将这些物件及全部复制件还给甲方或丙方。</w:t>
      </w:r>
    </w:p>
    <w:p>
      <w:pPr>
        <w:jc w:val="left"/>
      </w:pPr>
      <w:r>
        <w:rPr>
          <w:b/>
          <w:color w:val="000000"/>
          <w:sz w:val="21"/>
        </w:rPr>
        <w:t>八、违约责任</w:t>
      </w:r>
    </w:p>
    <w:p>
      <w:pPr>
        <w:jc w:val="both"/>
      </w:pPr>
      <w:r>
        <w:rPr>
          <w:sz w:val="21"/>
        </w:rPr>
        <w:t>1.</w:t>
      </w:r>
      <w:r>
        <w:rPr>
          <w:sz w:val="21"/>
        </w:rPr>
        <w:t>乙方提供的服务不符合招标文件、投标（响应）文件或本合同规定的，甲方或丙方有权拒收，并且乙方须向甲方或丙方支付本合同总价</w:t>
      </w:r>
      <w:r>
        <w:rPr>
          <w:sz w:val="21"/>
        </w:rPr>
        <w:t>5%</w:t>
      </w:r>
      <w:r>
        <w:rPr>
          <w:sz w:val="21"/>
        </w:rPr>
        <w:t>的违约金并在甲方或丙方规定的期限内更正，乙方不予更正或更正后仍不符合合同约定的，甲方或丙方有权解除合同，要求乙方支付合同总额</w:t>
      </w:r>
      <w:r>
        <w:rPr>
          <w:sz w:val="21"/>
        </w:rPr>
        <w:t>30%</w:t>
      </w:r>
      <w:r>
        <w:rPr>
          <w:sz w:val="21"/>
        </w:rPr>
        <w:t>的违约金，造成甲方或丙方其他损失的，乙方应予以赔偿。</w:t>
      </w:r>
    </w:p>
    <w:p>
      <w:pPr>
        <w:jc w:val="both"/>
      </w:pPr>
      <w:r>
        <w:rPr>
          <w:sz w:val="21"/>
        </w:rPr>
        <w:t>2.</w:t>
      </w:r>
      <w:r>
        <w:rPr>
          <w:sz w:val="21"/>
        </w:rPr>
        <w:t>乙方未能按本合同规定的时间提供服务，从逾期之日起每日按本合同总价万分之五的数额向甲方或丙方支付违约金；逾期</w:t>
      </w:r>
      <w:r>
        <w:rPr>
          <w:sz w:val="21"/>
        </w:rPr>
        <w:t>15</w:t>
      </w:r>
      <w:r>
        <w:rPr>
          <w:sz w:val="21"/>
        </w:rPr>
        <w:t>天以上（含</w:t>
      </w:r>
      <w:r>
        <w:rPr>
          <w:sz w:val="21"/>
        </w:rPr>
        <w:t>15</w:t>
      </w:r>
      <w:r>
        <w:rPr>
          <w:sz w:val="21"/>
        </w:rPr>
        <w:t>天）的，甲方或丙方有权终止合同，要求乙方支付合同总额</w:t>
      </w:r>
      <w:r>
        <w:rPr>
          <w:sz w:val="21"/>
        </w:rPr>
        <w:t>30%</w:t>
      </w:r>
      <w:r>
        <w:rPr>
          <w:sz w:val="21"/>
        </w:rPr>
        <w:t>的违约金，造成甲方或丙方其他损失的，乙方应予以赔偿。</w:t>
      </w:r>
    </w:p>
    <w:p>
      <w:pPr>
        <w:jc w:val="both"/>
      </w:pPr>
      <w:r>
        <w:rPr>
          <w:sz w:val="21"/>
        </w:rPr>
        <w:t>3.</w:t>
      </w:r>
      <w:r>
        <w:rPr>
          <w:sz w:val="21"/>
        </w:rPr>
        <w:t>甲方或丙方无正当理由拒绝服务，到期拒付服务款项的，甲方或丙方向乙方偿付本合同总价的</w:t>
      </w:r>
      <w:r>
        <w:rPr>
          <w:sz w:val="21"/>
        </w:rPr>
        <w:t>5%</w:t>
      </w:r>
      <w:r>
        <w:rPr>
          <w:sz w:val="21"/>
        </w:rPr>
        <w:t>作为违约金。甲方逾期付款，则每日按本合同总价的万分之五向乙方偿付违约金。</w:t>
      </w:r>
    </w:p>
    <w:p>
      <w:pPr>
        <w:jc w:val="left"/>
      </w:pPr>
      <w:r>
        <w:rPr>
          <w:color w:val="000000"/>
          <w:sz w:val="21"/>
        </w:rPr>
        <w:t>4.</w:t>
      </w:r>
      <w:r>
        <w:rPr>
          <w:color w:val="000000"/>
          <w:sz w:val="21"/>
        </w:rPr>
        <w:t>除政府采购合同继续履行将损害国家利益和社会公共利益外，甲、乙、丙方当事人不得擅自变更、中止或者终止合同。</w:t>
      </w:r>
      <w:r>
        <w:rPr>
          <w:sz w:val="21"/>
        </w:rPr>
        <w:t>因任意一方原因导致变更、中止或者终止政府采购合同的，应向另外两方偿付本合同总价的</w:t>
      </w:r>
      <w:r>
        <w:rPr>
          <w:sz w:val="21"/>
        </w:rPr>
        <w:t>5%</w:t>
      </w:r>
      <w:r>
        <w:rPr>
          <w:sz w:val="21"/>
        </w:rPr>
        <w:t>作为违约金。</w:t>
      </w:r>
    </w:p>
    <w:p>
      <w:pPr>
        <w:jc w:val="both"/>
      </w:pPr>
      <w:r>
        <w:rPr>
          <w:sz w:val="21"/>
        </w:rPr>
        <w:t>5.</w:t>
      </w:r>
      <w:r>
        <w:rPr>
          <w:sz w:val="21"/>
        </w:rPr>
        <w:t>其它违约责任按《中华人民共和国民法典》处理。</w:t>
      </w:r>
    </w:p>
    <w:p>
      <w:pPr>
        <w:jc w:val="left"/>
      </w:pPr>
      <w:r>
        <w:rPr>
          <w:b/>
          <w:color w:val="000000"/>
          <w:sz w:val="21"/>
        </w:rPr>
        <w:t>九、提出异议的时间和方法</w:t>
      </w:r>
    </w:p>
    <w:p>
      <w:pPr>
        <w:jc w:val="left"/>
      </w:pPr>
      <w:r>
        <w:rPr>
          <w:color w:val="000000"/>
          <w:sz w:val="21"/>
        </w:rPr>
        <w:t>1.</w:t>
      </w:r>
      <w:r>
        <w:rPr>
          <w:color w:val="000000"/>
          <w:sz w:val="21"/>
        </w:rPr>
        <w:t>甲方或丙方有异议时，应</w:t>
      </w:r>
      <w:r>
        <w:rPr>
          <w:sz w:val="21"/>
          <w:u w:val="single"/>
        </w:rPr>
        <w:t xml:space="preserve">     </w:t>
      </w:r>
      <w:r>
        <w:rPr>
          <w:color w:val="000000"/>
          <w:sz w:val="21"/>
        </w:rPr>
        <w:t>天内向乙方提出书面异议。</w:t>
      </w:r>
    </w:p>
    <w:p>
      <w:pPr>
        <w:jc w:val="left"/>
      </w:pPr>
      <w:r>
        <w:rPr>
          <w:color w:val="000000"/>
          <w:sz w:val="21"/>
        </w:rPr>
        <w:t>2.</w:t>
      </w:r>
      <w:r>
        <w:rPr>
          <w:color w:val="000000"/>
          <w:sz w:val="21"/>
        </w:rPr>
        <w:t>乙方在接到甲方或丙方书面异议后，应在</w:t>
      </w:r>
      <w:r>
        <w:rPr>
          <w:color w:val="000000"/>
          <w:sz w:val="21"/>
        </w:rPr>
        <w:t>3</w:t>
      </w:r>
      <w:r>
        <w:rPr>
          <w:color w:val="000000"/>
          <w:sz w:val="21"/>
        </w:rPr>
        <w:t>天内负责处理并函复甲方或丙方处理情况，否则，即视为默认甲方或丙方提出的异议和处理意见。</w:t>
      </w:r>
    </w:p>
    <w:p>
      <w:pPr>
        <w:jc w:val="left"/>
      </w:pPr>
      <w:r>
        <w:rPr>
          <w:color w:val="000000"/>
          <w:sz w:val="21"/>
        </w:rPr>
        <w:t>3.</w:t>
      </w:r>
      <w:r>
        <w:rPr>
          <w:color w:val="000000"/>
          <w:sz w:val="21"/>
        </w:rPr>
        <w:t>乙方利用专业技术和行业信息优势之便，以不道德的手段，故意隐瞒和掩盖自身缔约过失，违背投标（响应）承诺和未尽义务，损害了甲方或丙方的合法权益，甲方或丙方在任何时候均可追究乙方的违约责任并索取赔偿，且不受验收程序、服务期和合同时效的限制。</w:t>
      </w:r>
    </w:p>
    <w:p>
      <w:pPr>
        <w:jc w:val="left"/>
      </w:pPr>
      <w:r>
        <w:rPr>
          <w:b/>
          <w:color w:val="000000"/>
          <w:sz w:val="21"/>
        </w:rPr>
        <w:t>十、争议的解决</w:t>
      </w:r>
    </w:p>
    <w:p>
      <w:pPr>
        <w:jc w:val="left"/>
      </w:pPr>
      <w:r>
        <w:rPr>
          <w:color w:val="000000"/>
          <w:sz w:val="21"/>
        </w:rPr>
        <w:t>1.</w:t>
      </w:r>
      <w:r>
        <w:rPr>
          <w:color w:val="000000"/>
          <w:sz w:val="21"/>
        </w:rPr>
        <w:t>合同履行过程中发生的任何争议，如双方未能通过友好协商解决，应向佛山市有管辖权的人民法院提起诉讼。</w:t>
      </w:r>
    </w:p>
    <w:p>
      <w:pPr>
        <w:jc w:val="left"/>
      </w:pPr>
      <w:r>
        <w:rPr>
          <w:color w:val="000000"/>
          <w:sz w:val="21"/>
        </w:rPr>
        <w:t>2.</w:t>
      </w:r>
      <w:r>
        <w:rPr>
          <w:color w:val="000000"/>
          <w:sz w:val="21"/>
        </w:rPr>
        <w:t>法院审理期间，除提交法院审理的事项外，其它无争议的事项和条款仍应继续履行。</w:t>
      </w:r>
    </w:p>
    <w:p>
      <w:pPr>
        <w:jc w:val="left"/>
      </w:pPr>
      <w:r>
        <w:rPr>
          <w:b/>
          <w:color w:val="000000"/>
          <w:sz w:val="21"/>
        </w:rPr>
        <w:t>十一、不可抗力</w:t>
      </w:r>
    </w:p>
    <w:p>
      <w:pPr>
        <w:ind w:firstLine="420"/>
        <w:jc w:val="left"/>
      </w:pPr>
      <w:r>
        <w:rPr>
          <w:color w:val="000000"/>
          <w:sz w:val="21"/>
        </w:rPr>
        <w:t>任何一方由于不可抗力原因不能履行合同时，应在不可抗力事件结束后</w:t>
      </w:r>
      <w:r>
        <w:rPr>
          <w:color w:val="000000"/>
          <w:sz w:val="21"/>
        </w:rPr>
        <w:t>48</w:t>
      </w:r>
      <w:r>
        <w:rPr>
          <w:color w:val="000000"/>
          <w:sz w:val="21"/>
        </w:rPr>
        <w:t>小时内向对方通报，以减轻可能给对方造成的损失，在取得有关机构的不可抗力证明或双方谅解确认后，允许延期履行或修订合同，并根据情况可部分或全部免于承担违约责任。</w:t>
      </w:r>
    </w:p>
    <w:p>
      <w:pPr>
        <w:jc w:val="left"/>
      </w:pPr>
      <w:r>
        <w:rPr>
          <w:b/>
          <w:color w:val="000000"/>
          <w:sz w:val="21"/>
        </w:rPr>
        <w:t>十二、税费</w:t>
      </w:r>
    </w:p>
    <w:p>
      <w:pPr>
        <w:jc w:val="left"/>
      </w:pPr>
      <w:r>
        <w:rPr>
          <w:color w:val="000000"/>
          <w:sz w:val="21"/>
        </w:rPr>
        <w:t>1.</w:t>
      </w:r>
      <w:r>
        <w:rPr>
          <w:color w:val="000000"/>
          <w:sz w:val="21"/>
        </w:rPr>
        <w:t>本合同实施过程中所发生的一切税费及不可预见费均由乙方承担。</w:t>
      </w:r>
    </w:p>
    <w:p>
      <w:pPr>
        <w:jc w:val="left"/>
      </w:pPr>
      <w:r>
        <w:rPr>
          <w:color w:val="000000"/>
          <w:sz w:val="21"/>
        </w:rPr>
        <w:t>2.</w:t>
      </w:r>
      <w:r>
        <w:rPr>
          <w:color w:val="000000"/>
          <w:sz w:val="21"/>
        </w:rPr>
        <w:t>乙方依照税务规章优先在合同履约地开具发票及纳税，咨询：</w:t>
      </w:r>
      <w:r>
        <w:rPr>
          <w:color w:val="000000"/>
          <w:sz w:val="21"/>
        </w:rPr>
        <w:t>0757-12366</w:t>
      </w:r>
      <w:r>
        <w:rPr>
          <w:color w:val="000000"/>
          <w:sz w:val="21"/>
        </w:rPr>
        <w:t>。</w:t>
      </w:r>
    </w:p>
    <w:p>
      <w:pPr>
        <w:jc w:val="left"/>
      </w:pPr>
      <w:r>
        <w:rPr>
          <w:b/>
          <w:color w:val="000000"/>
          <w:sz w:val="21"/>
        </w:rPr>
        <w:t>十三、合同生效与合同备案：</w:t>
      </w:r>
    </w:p>
    <w:p>
      <w:pPr>
        <w:jc w:val="left"/>
      </w:pPr>
      <w:r>
        <w:rPr>
          <w:color w:val="000000"/>
          <w:sz w:val="21"/>
        </w:rPr>
        <w:t>1.</w:t>
      </w:r>
      <w:r>
        <w:rPr>
          <w:color w:val="000000"/>
          <w:sz w:val="21"/>
        </w:rPr>
        <w:t>本合同在甲、乙、丙三方法人代表或其授权代表签字盖章后生效。</w:t>
      </w:r>
    </w:p>
    <w:p>
      <w:pPr>
        <w:jc w:val="left"/>
      </w:pPr>
      <w:r>
        <w:rPr>
          <w:color w:val="000000"/>
          <w:sz w:val="21"/>
        </w:rPr>
        <w:t>2.</w:t>
      </w:r>
      <w:r>
        <w:rPr>
          <w:color w:val="000000"/>
          <w:sz w:val="21"/>
        </w:rPr>
        <w:t>自采购合同签订之日起</w:t>
      </w:r>
      <w:r>
        <w:rPr>
          <w:color w:val="000000"/>
          <w:sz w:val="21"/>
        </w:rPr>
        <w:t>7</w:t>
      </w:r>
      <w:r>
        <w:rPr>
          <w:color w:val="000000"/>
          <w:sz w:val="21"/>
        </w:rPr>
        <w:t>个工作日内，由甲方按照有关规定将采购合同副本报同级人民政府财政部门（政府采购管理部门）备案。</w:t>
      </w:r>
    </w:p>
    <w:p>
      <w:pPr>
        <w:jc w:val="left"/>
      </w:pPr>
      <w:r>
        <w:rPr>
          <w:b/>
          <w:color w:val="000000"/>
          <w:sz w:val="21"/>
        </w:rPr>
        <w:t>十四、乙方应提供的资料内容</w:t>
      </w:r>
    </w:p>
    <w:p>
      <w:pPr>
        <w:jc w:val="left"/>
      </w:pPr>
      <w:r>
        <w:rPr>
          <w:sz w:val="21"/>
          <w:u w:val="single"/>
        </w:rPr>
        <w:t xml:space="preserve">                                                            </w:t>
      </w:r>
      <w:r>
        <w:rPr>
          <w:color w:val="000000"/>
          <w:sz w:val="21"/>
        </w:rPr>
        <w:t>。</w:t>
      </w:r>
    </w:p>
    <w:p>
      <w:pPr>
        <w:jc w:val="left"/>
      </w:pPr>
      <w:r>
        <w:rPr>
          <w:b/>
          <w:color w:val="000000"/>
          <w:sz w:val="21"/>
        </w:rPr>
        <w:t>十五、关于政府采购合同融资</w:t>
      </w:r>
    </w:p>
    <w:p>
      <w:pPr>
        <w:jc w:val="left"/>
      </w:pPr>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w:t>
      </w:r>
      <w:r>
        <w:rPr>
          <w:color w:val="000000"/>
          <w:sz w:val="21"/>
          <w:u w:val="single"/>
        </w:rPr>
        <w:t>否</w:t>
      </w:r>
      <w:r>
        <w:rPr>
          <w:color w:val="000000"/>
          <w:sz w:val="21"/>
        </w:rPr>
        <w:t>；</w:t>
      </w:r>
    </w:p>
    <w:p>
      <w:pPr>
        <w:jc w:val="left"/>
      </w:pPr>
      <w:r>
        <w:rPr>
          <w:color w:val="000000"/>
          <w:sz w:val="21"/>
        </w:rPr>
        <w:t>2.</w:t>
      </w:r>
      <w:r>
        <w:rPr>
          <w:color w:val="000000"/>
          <w:sz w:val="21"/>
        </w:rPr>
        <w:t>融资银行及联系方式：</w:t>
      </w:r>
      <w:r>
        <w:rPr>
          <w:sz w:val="21"/>
          <w:u w:val="single"/>
        </w:rPr>
        <w:t xml:space="preserve">                                                </w:t>
      </w:r>
      <w:r>
        <w:rPr>
          <w:color w:val="000000"/>
          <w:sz w:val="21"/>
        </w:rPr>
        <w:t>。</w:t>
      </w:r>
    </w:p>
    <w:p>
      <w:pPr>
        <w:jc w:val="left"/>
      </w:pPr>
      <w:r>
        <w:rPr>
          <w:color w:val="000000"/>
          <w:sz w:val="21"/>
        </w:rPr>
        <w:t>3.</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pPr>
        <w:jc w:val="left"/>
      </w:pPr>
      <w:r>
        <w:rPr>
          <w:b/>
          <w:color w:val="000000"/>
          <w:sz w:val="21"/>
        </w:rPr>
        <w:t>十六、其它</w:t>
      </w:r>
    </w:p>
    <w:p>
      <w:pPr>
        <w:jc w:val="left"/>
      </w:pPr>
      <w:r>
        <w:rPr>
          <w:color w:val="000000"/>
          <w:sz w:val="21"/>
        </w:rPr>
        <w:t>1.</w:t>
      </w:r>
      <w:r>
        <w:rPr>
          <w:color w:val="000000"/>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left"/>
      </w:pPr>
      <w:r>
        <w:rPr>
          <w:color w:val="000000"/>
          <w:sz w:val="21"/>
        </w:rPr>
        <w:t>2.</w:t>
      </w:r>
      <w:r>
        <w:rPr>
          <w:color w:val="000000"/>
          <w:sz w:val="21"/>
        </w:rPr>
        <w:t>如一方（包括联系人）地址、电话、传真号码有变更，应在变更后</w:t>
      </w:r>
      <w:r>
        <w:rPr>
          <w:color w:val="000000"/>
          <w:sz w:val="21"/>
        </w:rPr>
        <w:t>3</w:t>
      </w:r>
      <w:r>
        <w:rPr>
          <w:color w:val="000000"/>
          <w:sz w:val="21"/>
        </w:rPr>
        <w:t>个工作日内书面通知其他两方联系人或负责人，否则，因此造成的损失由未履行通知义务方承担相应责任。</w:t>
      </w:r>
    </w:p>
    <w:p>
      <w:pPr>
        <w:jc w:val="left"/>
      </w:pPr>
      <w:r>
        <w:rPr>
          <w:color w:val="000000"/>
          <w:sz w:val="21"/>
        </w:rPr>
        <w:t>3.</w:t>
      </w:r>
      <w:r>
        <w:rPr>
          <w:color w:val="000000"/>
          <w:sz w:val="21"/>
        </w:rPr>
        <w:t>未经甲方或丙方书面同意，乙方不得擅自向第三方转让其主体性和关键性合同义务。</w:t>
      </w:r>
    </w:p>
    <w:p>
      <w:pPr>
        <w:jc w:val="left"/>
      </w:pPr>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份，丙方执</w:t>
      </w:r>
      <w:r>
        <w:rPr>
          <w:sz w:val="21"/>
          <w:u w:val="single"/>
        </w:rPr>
        <w:t xml:space="preserve">   </w:t>
      </w:r>
      <w:r>
        <w:rPr>
          <w:color w:val="000000"/>
          <w:sz w:val="21"/>
        </w:rPr>
        <w:t>份，代理机构执壹份。</w:t>
      </w:r>
    </w:p>
    <w:p>
      <w:pPr>
        <w:jc w:val="left"/>
      </w:pPr>
      <w:r>
        <w:rPr>
          <w:color w:val="000000"/>
          <w:sz w:val="21"/>
        </w:rPr>
        <w:t>5.</w:t>
      </w:r>
      <w:r>
        <w:rPr>
          <w:color w:val="000000"/>
          <w:sz w:val="21"/>
        </w:rPr>
        <w:t>本合同（含附件）共计</w:t>
      </w:r>
      <w:r>
        <w:rPr>
          <w:sz w:val="21"/>
          <w:u w:val="single"/>
        </w:rPr>
        <w:t xml:space="preserve">    </w:t>
      </w:r>
      <w:r>
        <w:rPr>
          <w:color w:val="000000"/>
          <w:sz w:val="21"/>
        </w:rPr>
        <w:t>页，缺页之合同为无效合同。</w:t>
      </w:r>
    </w:p>
    <w:p>
      <w:pPr>
        <w:jc w:val="left"/>
      </w:pPr>
      <w:r>
        <w:rPr>
          <w:color w:val="000000"/>
          <w:sz w:val="21"/>
        </w:rPr>
        <w:t>6.</w:t>
      </w:r>
      <w:r>
        <w:rPr>
          <w:color w:val="000000"/>
          <w:sz w:val="21"/>
        </w:rPr>
        <w:t>本合同签约履约地点：广东省佛山市。</w:t>
      </w:r>
    </w:p>
    <w:p>
      <w:pPr>
        <w:jc w:val="left"/>
      </w:pPr>
      <w:r>
        <w:rPr>
          <w:color w:val="000000"/>
          <w:sz w:val="21"/>
        </w:rPr>
        <w:t>7.</w:t>
      </w:r>
      <w:r>
        <w:rPr>
          <w:color w:val="000000"/>
          <w:sz w:val="21"/>
        </w:rPr>
        <w:t>本合同所指</w:t>
      </w:r>
      <w:r>
        <w:rPr>
          <w:color w:val="000000"/>
          <w:sz w:val="21"/>
        </w:rPr>
        <w:t>“</w:t>
      </w:r>
      <w:r>
        <w:rPr>
          <w:color w:val="000000"/>
          <w:sz w:val="21"/>
        </w:rPr>
        <w:t>书面通知</w:t>
      </w:r>
      <w:r>
        <w:rPr>
          <w:color w:val="000000"/>
          <w:sz w:val="21"/>
        </w:rPr>
        <w:t>”</w:t>
      </w:r>
      <w:r>
        <w:rPr>
          <w:color w:val="000000"/>
          <w:sz w:val="21"/>
        </w:rPr>
        <w:t>包括但不限于短信、电子邮件等数据电文的通知形式，到达时间以民事诉讼法的规定为准，但进行书面通知前后，通知方均有义务电话确认通知事项。</w:t>
      </w:r>
    </w:p>
    <w:p>
      <w:pPr>
        <w:jc w:val="left"/>
      </w:pPr>
      <w:r>
        <w:rPr>
          <w:color w:val="000000"/>
          <w:sz w:val="21"/>
        </w:rPr>
        <w:t>8.</w:t>
      </w:r>
      <w:r>
        <w:rPr>
          <w:color w:val="000000"/>
          <w:sz w:val="21"/>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1"/>
        <w:gridCol w:w="3950"/>
        <w:gridCol w:w="135"/>
      </w:tblGrid>
      <w:tr>
        <w:tc>
          <w:tcPr>
            <w:tcW w:type="dxa" w:w="4221"/>
            <w:tcBorders>
              <w:top w:val="none" w:color="000000" w:sz="4"/>
              <w:left w:val="none" w:color="000000" w:sz="4"/>
              <w:bottom w:val="none" w:color="000000" w:sz="4"/>
              <w:right w:val="dashed" w:color="000000" w:sz="4"/>
            </w:tcBorders>
            <w:vAlign w:val="top"/>
          </w:tcPr>
          <w:p>
            <w:pPr>
              <w:jc w:val="left"/>
            </w:pPr>
            <w:r>
              <w:rPr>
                <w:b/>
                <w:color w:val="000000"/>
                <w:sz w:val="21"/>
              </w:rPr>
              <w:t>甲方（盖章）：</w:t>
            </w:r>
          </w:p>
          <w:p>
            <w:pPr>
              <w:jc w:val="left"/>
            </w:pPr>
            <w:r>
              <w:rPr>
                <w:color w:val="000000"/>
                <w:sz w:val="21"/>
              </w:rPr>
              <w:t>代表：</w:t>
            </w:r>
            <w:r>
              <w:rPr>
                <w:sz w:val="21"/>
                <w:u w:val="single"/>
              </w:rPr>
              <w:t xml:space="preserve">                              </w:t>
            </w:r>
            <w:r>
              <w:rPr>
                <w:sz w:val="21"/>
              </w:rPr>
              <w:t xml:space="preserve"> </w:t>
            </w:r>
          </w:p>
          <w:p>
            <w:pPr>
              <w:jc w:val="left"/>
            </w:pPr>
            <w:r>
              <w:rPr>
                <w:color w:val="000000"/>
                <w:sz w:val="21"/>
              </w:rPr>
              <w:t>地址：</w:t>
            </w:r>
          </w:p>
          <w:p>
            <w:pPr>
              <w:jc w:val="left"/>
            </w:pPr>
            <w:r>
              <w:rPr>
                <w:color w:val="000000"/>
                <w:sz w:val="21"/>
              </w:rPr>
              <w:t>电话：</w:t>
            </w:r>
          </w:p>
          <w:p>
            <w:pPr>
              <w:jc w:val="left"/>
            </w:pPr>
            <w:r>
              <w:rPr>
                <w:color w:val="000000"/>
                <w:sz w:val="21"/>
              </w:rPr>
              <w:t>传真：</w:t>
            </w:r>
          </w:p>
          <w:p>
            <w:pPr>
              <w:jc w:val="left"/>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50"/>
            <w:tcBorders>
              <w:top w:val="none" w:color="000000" w:sz="4"/>
              <w:left w:val="none" w:color="000000" w:sz="4"/>
              <w:bottom w:val="none" w:color="000000" w:sz="4"/>
              <w:right w:val="none" w:color="000000" w:sz="4"/>
            </w:tcBorders>
            <w:vAlign w:val="top"/>
          </w:tcPr>
          <w:p>
            <w:pPr>
              <w:jc w:val="left"/>
            </w:pPr>
            <w:r>
              <w:rPr>
                <w:b/>
                <w:color w:val="000000"/>
                <w:sz w:val="21"/>
              </w:rPr>
              <w:t>乙方（盖章）：</w:t>
            </w:r>
          </w:p>
          <w:p>
            <w:pPr>
              <w:jc w:val="left"/>
            </w:pPr>
            <w:r>
              <w:rPr>
                <w:color w:val="000000"/>
                <w:sz w:val="21"/>
              </w:rPr>
              <w:t>代表：</w:t>
            </w:r>
            <w:r>
              <w:rPr>
                <w:sz w:val="21"/>
                <w:u w:val="single"/>
              </w:rPr>
              <w:t xml:space="preserve">                           </w:t>
            </w:r>
          </w:p>
          <w:p>
            <w:pPr>
              <w:jc w:val="left"/>
            </w:pPr>
            <w:r>
              <w:rPr>
                <w:color w:val="000000"/>
                <w:sz w:val="21"/>
              </w:rPr>
              <w:t>地址：</w:t>
            </w:r>
          </w:p>
          <w:p>
            <w:pPr>
              <w:jc w:val="left"/>
            </w:pPr>
            <w:r>
              <w:rPr>
                <w:color w:val="000000"/>
                <w:sz w:val="21"/>
              </w:rPr>
              <w:t>电话：</w:t>
            </w:r>
          </w:p>
          <w:p>
            <w:pPr>
              <w:jc w:val="left"/>
            </w:pPr>
            <w:r>
              <w:rPr>
                <w:color w:val="000000"/>
                <w:sz w:val="21"/>
              </w:rPr>
              <w:t>传真：</w:t>
            </w:r>
          </w:p>
          <w:p>
            <w:pPr>
              <w:jc w:val="left"/>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35"/>
            <w:tcBorders>
              <w:top w:val="none" w:color="000000" w:sz="4"/>
              <w:left w:val="none" w:color="000000" w:sz="4"/>
              <w:bottom w:val="none" w:color="000000" w:sz="4"/>
              <w:right w:val="none" w:color="000000" w:sz="4"/>
            </w:tcBorders>
            <w:vAlign w:val="top"/>
          </w:tcPr>
          <w:p>
            <w:pPr>
              <w:jc w:val="left"/>
            </w:pPr>
          </w:p>
        </w:tc>
      </w:tr>
      <w:tr>
        <w:tc>
          <w:tcPr>
            <w:tcW w:type="dxa" w:w="4221"/>
            <w:tcBorders>
              <w:top w:val="none" w:color="000000" w:sz="4"/>
              <w:left w:val="none" w:color="000000" w:sz="4"/>
              <w:bottom w:val="single" w:color="FFFFFF" w:sz="4"/>
              <w:right w:val="dashed" w:color="000000" w:sz="4"/>
            </w:tcBorders>
            <w:vAlign w:val="top"/>
          </w:tcPr>
          <w:p>
            <w:pPr>
              <w:jc w:val="left"/>
            </w:pPr>
            <w:r>
              <w:rPr>
                <w:b/>
                <w:color w:val="000000"/>
                <w:sz w:val="21"/>
              </w:rPr>
              <w:t>丙方（盖章）：</w:t>
            </w:r>
          </w:p>
          <w:p>
            <w:pPr>
              <w:jc w:val="left"/>
            </w:pPr>
            <w:r>
              <w:rPr>
                <w:color w:val="000000"/>
                <w:sz w:val="21"/>
              </w:rPr>
              <w:t>代表：</w:t>
            </w:r>
          </w:p>
          <w:p>
            <w:pPr>
              <w:jc w:val="left"/>
            </w:pPr>
            <w:r>
              <w:rPr>
                <w:color w:val="000000"/>
                <w:sz w:val="21"/>
              </w:rPr>
              <w:t>地址：</w:t>
            </w:r>
          </w:p>
          <w:p>
            <w:pPr>
              <w:jc w:val="left"/>
            </w:pPr>
            <w:r>
              <w:rPr>
                <w:color w:val="000000"/>
                <w:sz w:val="21"/>
              </w:rPr>
              <w:t>电话：</w:t>
            </w:r>
          </w:p>
          <w:p>
            <w:pPr>
              <w:jc w:val="left"/>
            </w:pPr>
            <w:r>
              <w:rPr>
                <w:color w:val="000000"/>
                <w:sz w:val="21"/>
              </w:rPr>
              <w:t>传真：</w:t>
            </w:r>
          </w:p>
        </w:tc>
        <w:tc>
          <w:tcPr>
            <w:tcW w:type="dxa" w:w="4085"/>
            <w:gridSpan w:val="2"/>
            <w:tcBorders>
              <w:top w:val="none" w:color="000000" w:sz="4"/>
              <w:left w:val="none" w:color="000000" w:sz="4"/>
              <w:bottom w:val="single" w:color="FFFFFF" w:sz="4"/>
              <w:right w:val="none" w:color="000000" w:sz="4"/>
            </w:tcBorders>
            <w:vAlign w:val="top"/>
          </w:tcPr>
          <w:p>
            <w:pPr>
              <w:jc w:val="left"/>
            </w:pPr>
            <w:r>
              <w:rPr>
                <w:b/>
                <w:color w:val="000000"/>
                <w:sz w:val="21"/>
              </w:rPr>
              <w:t>收款方、开票方须与乙方一致，专户为：</w:t>
            </w:r>
          </w:p>
          <w:p>
            <w:pPr>
              <w:jc w:val="left"/>
            </w:pPr>
            <w:r>
              <w:rPr>
                <w:color w:val="000000"/>
                <w:sz w:val="21"/>
              </w:rPr>
              <w:t>开户名称：</w:t>
            </w:r>
          </w:p>
          <w:p>
            <w:pPr>
              <w:jc w:val="left"/>
            </w:pPr>
            <w:r>
              <w:rPr>
                <w:color w:val="000000"/>
                <w:sz w:val="21"/>
              </w:rPr>
              <w:t>银行账号：</w:t>
            </w:r>
          </w:p>
          <w:p>
            <w:pPr>
              <w:jc w:val="left"/>
            </w:pPr>
            <w:r>
              <w:rPr>
                <w:color w:val="000000"/>
                <w:sz w:val="21"/>
              </w:rPr>
              <w:t>开户行：</w:t>
            </w:r>
          </w:p>
        </w:tc>
      </w:tr>
    </w:tbl>
    <w:p>
      <w:pPr>
        <w:jc w:val="left"/>
      </w:pPr>
      <w:r>
        <w:rPr>
          <w:b/>
          <w:color w:val="000000"/>
          <w:sz w:val="21"/>
        </w:rPr>
        <w:t>见证单位（盖章）：佛山市信悦咨询有限公司</w:t>
      </w:r>
    </w:p>
    <w:p>
      <w:pPr>
        <w:jc w:val="left"/>
      </w:pPr>
      <w:r>
        <w:rPr>
          <w:sz w:val="21"/>
        </w:rPr>
        <w:t>见证人</w:t>
      </w:r>
      <w:r>
        <w:rPr>
          <w:sz w:val="21"/>
        </w:rPr>
        <w:t>:</w:t>
      </w:r>
    </w:p>
    <w:p>
      <w:pPr>
        <w:jc w:val="left"/>
      </w:pPr>
      <w:r>
        <w:rPr>
          <w:sz w:val="21"/>
        </w:rPr>
        <w:t>合同见证日期：年</w:t>
      </w:r>
      <w:r>
        <w:rPr>
          <w:sz w:val="21"/>
        </w:rPr>
        <w:t>月</w:t>
      </w:r>
      <w:r>
        <w:rPr>
          <w:sz w:val="21"/>
        </w:rPr>
        <w:t>日</w:t>
      </w:r>
    </w:p>
    <w:p>
      <w:pPr>
        <w:jc w:val="left"/>
      </w:pPr>
      <w:r>
        <w:rPr>
          <w:b/>
          <w:color w:val="000000"/>
          <w:sz w:val="24"/>
        </w:rPr>
        <w:t>附件：《禅城区肢体残疾人居家康复服务采购质量季度考核表》</w:t>
      </w:r>
    </w:p>
    <w:p>
      <w:pPr>
        <w:jc w:val="center"/>
      </w:pPr>
      <w:r>
        <w:rPr>
          <w:b/>
          <w:color w:val="000000"/>
          <w:sz w:val="24"/>
        </w:rPr>
        <w:t>禅城区肢体残疾人居家康复服务采购质量季度考核表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88"/>
        <w:gridCol w:w="769"/>
        <w:gridCol w:w="2819"/>
        <w:gridCol w:w="3558"/>
        <w:gridCol w:w="573"/>
      </w:tblGrid>
      <w:tr>
        <w:tc>
          <w:tcPr>
            <w:tcW w:type="dxa" w:w="588"/>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769"/>
            <w:tcBorders>
              <w:top w:val="single" w:color="000000" w:sz="4"/>
              <w:left w:val="none" w:color="000000" w:sz="4"/>
              <w:bottom w:val="single" w:color="000000" w:sz="4"/>
              <w:right w:val="single" w:color="000000" w:sz="4"/>
            </w:tcBorders>
            <w:vAlign w:val="top"/>
          </w:tcPr>
          <w:p>
            <w:pPr>
              <w:jc w:val="center"/>
            </w:pPr>
            <w:r>
              <w:rPr>
                <w:b/>
                <w:sz w:val="18"/>
              </w:rPr>
              <w:t>评审</w:t>
            </w:r>
          </w:p>
        </w:tc>
        <w:tc>
          <w:tcPr>
            <w:tcW w:type="dxa" w:w="2819"/>
            <w:tcBorders>
              <w:top w:val="single" w:color="000000" w:sz="4"/>
              <w:left w:val="none" w:color="000000" w:sz="4"/>
              <w:bottom w:val="single" w:color="000000" w:sz="4"/>
              <w:right w:val="single" w:color="000000" w:sz="4"/>
            </w:tcBorders>
            <w:vAlign w:val="top"/>
          </w:tcPr>
          <w:p>
            <w:pPr>
              <w:jc w:val="center"/>
            </w:pPr>
            <w:r>
              <w:rPr>
                <w:b/>
                <w:sz w:val="18"/>
              </w:rPr>
              <w:t>评审内容</w:t>
            </w:r>
          </w:p>
        </w:tc>
        <w:tc>
          <w:tcPr>
            <w:tcW w:type="dxa" w:w="3558"/>
            <w:tcBorders>
              <w:top w:val="single" w:color="000000" w:sz="4"/>
              <w:left w:val="none" w:color="000000" w:sz="4"/>
              <w:bottom w:val="single" w:color="000000" w:sz="4"/>
              <w:right w:val="single" w:color="000000" w:sz="4"/>
            </w:tcBorders>
            <w:vAlign w:val="top"/>
          </w:tcPr>
          <w:p>
            <w:pPr>
              <w:jc w:val="center"/>
            </w:pPr>
            <w:r>
              <w:rPr>
                <w:b/>
                <w:sz w:val="18"/>
              </w:rPr>
              <w:t>操作办法</w:t>
            </w:r>
          </w:p>
        </w:tc>
        <w:tc>
          <w:tcPr>
            <w:tcW w:type="dxa" w:w="573"/>
            <w:tcBorders>
              <w:top w:val="single" w:color="000000" w:sz="4"/>
              <w:left w:val="none" w:color="000000" w:sz="4"/>
              <w:bottom w:val="single" w:color="000000" w:sz="4"/>
              <w:right w:val="single" w:color="000000" w:sz="4"/>
            </w:tcBorders>
            <w:vAlign w:val="top"/>
          </w:tcPr>
          <w:p>
            <w:pPr>
              <w:jc w:val="center"/>
            </w:pPr>
            <w:r>
              <w:rPr>
                <w:b/>
                <w:sz w:val="18"/>
              </w:rPr>
              <w:t>分值</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69"/>
            <w:vMerge w:val="restart"/>
            <w:tcBorders>
              <w:top w:val="none" w:color="000000" w:sz="4"/>
              <w:left w:val="none" w:color="000000" w:sz="4"/>
              <w:bottom w:val="single" w:color="000000" w:sz="4"/>
              <w:right w:val="single" w:color="000000" w:sz="4"/>
            </w:tcBorders>
            <w:vAlign w:val="top"/>
          </w:tcPr>
          <w:p>
            <w:pPr>
              <w:jc w:val="left"/>
            </w:pPr>
            <w:r>
              <w:rPr>
                <w:sz w:val="18"/>
              </w:rPr>
              <w:t>人员管理</w:t>
            </w:r>
          </w:p>
          <w:p>
            <w:pPr>
              <w:jc w:val="left"/>
            </w:pPr>
            <w:r>
              <w:rPr>
                <w:sz w:val="18"/>
              </w:rPr>
              <w:t>（</w:t>
            </w:r>
            <w:r>
              <w:rPr>
                <w:sz w:val="18"/>
              </w:rPr>
              <w:t>15</w:t>
            </w:r>
            <w:r>
              <w:rPr>
                <w:sz w:val="18"/>
              </w:rPr>
              <w:t>分）</w:t>
            </w:r>
          </w:p>
        </w:tc>
        <w:tc>
          <w:tcPr>
            <w:tcW w:type="dxa" w:w="2819"/>
            <w:tcBorders>
              <w:top w:val="none" w:color="000000" w:sz="4"/>
              <w:left w:val="none" w:color="000000" w:sz="4"/>
              <w:bottom w:val="single" w:color="000000" w:sz="4"/>
              <w:right w:val="single" w:color="000000" w:sz="4"/>
            </w:tcBorders>
            <w:vAlign w:val="top"/>
          </w:tcPr>
          <w:p>
            <w:pPr>
              <w:jc w:val="left"/>
            </w:pPr>
            <w:r>
              <w:rPr>
                <w:sz w:val="18"/>
              </w:rPr>
              <w:t>项目人员需持相关专业的资质证书上岗，且人数保持充足，以确保康复服务正常运作；项目人员发生调整时需至少提前</w:t>
            </w:r>
            <w:r>
              <w:rPr>
                <w:sz w:val="18"/>
              </w:rPr>
              <w:t>15</w:t>
            </w:r>
            <w:r>
              <w:rPr>
                <w:sz w:val="18"/>
              </w:rPr>
              <w:t>天以书面形式通知区佛山市禅城区残疾人联合会。</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资料分析：服务合同、项目人员花名册、项目人员调整明细表、劳动合同、工资发放表、社保记录、资质证书、康复服务记录等。</w:t>
            </w:r>
          </w:p>
          <w:p>
            <w:pPr>
              <w:jc w:val="left"/>
            </w:pPr>
            <w:r>
              <w:rPr>
                <w:b/>
                <w:sz w:val="18"/>
              </w:rPr>
              <w:t>按要求提供以上佐证材料，每缺一项材料，或者提供的资料不符合规定，扣</w:t>
            </w:r>
            <w:r>
              <w:rPr>
                <w:b/>
                <w:sz w:val="18"/>
              </w:rPr>
              <w:t>1</w:t>
            </w:r>
            <w:r>
              <w:rPr>
                <w:b/>
                <w:sz w:val="18"/>
              </w:rPr>
              <w:t>分；缺乏四项或以上的材料，本条不得分。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项目团队组织结构健全，分工明细，调配合理，岗位职责明确。</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资料分析：岗位职责说明等。</w:t>
            </w:r>
          </w:p>
          <w:p>
            <w:pPr>
              <w:jc w:val="left"/>
            </w:pPr>
            <w:r>
              <w:rPr>
                <w:b/>
                <w:sz w:val="18"/>
              </w:rPr>
              <w:t>项目团队有设立专职管理人员、组织结构健全，得</w:t>
            </w:r>
            <w:r>
              <w:rPr>
                <w:b/>
                <w:sz w:val="18"/>
              </w:rPr>
              <w:t>1.5</w:t>
            </w:r>
            <w:r>
              <w:rPr>
                <w:b/>
                <w:sz w:val="18"/>
              </w:rPr>
              <w:t>分；有明确的人员架构和岗位职责说明，得</w:t>
            </w:r>
            <w:r>
              <w:rPr>
                <w:b/>
                <w:sz w:val="18"/>
              </w:rPr>
              <w:t>1.5</w:t>
            </w:r>
            <w:r>
              <w:rPr>
                <w:b/>
                <w:sz w:val="18"/>
              </w:rPr>
              <w:t>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对项目人员在岗业务培训学习每月不少于</w:t>
            </w:r>
            <w:r>
              <w:rPr>
                <w:sz w:val="18"/>
              </w:rPr>
              <w:t>1</w:t>
            </w:r>
            <w:r>
              <w:rPr>
                <w:sz w:val="18"/>
              </w:rPr>
              <w:t>次。培训内容需与项目工作内容匹配、结合项目实际情况，可适当融入党建工作、残联政策等内容。</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资料分析：学习培训制度、培训内容记录、项目情况相关资料等。</w:t>
            </w:r>
          </w:p>
          <w:p>
            <w:pPr>
              <w:jc w:val="left"/>
            </w:pPr>
            <w:r>
              <w:rPr>
                <w:b/>
                <w:sz w:val="18"/>
              </w:rPr>
              <w:t>具有针对本项目的学习培训制度，得</w:t>
            </w:r>
            <w:r>
              <w:rPr>
                <w:b/>
                <w:sz w:val="18"/>
              </w:rPr>
              <w:t>1</w:t>
            </w:r>
            <w:r>
              <w:rPr>
                <w:b/>
                <w:sz w:val="18"/>
              </w:rPr>
              <w:t>分；具有完整的培训内容记录，得</w:t>
            </w:r>
            <w:r>
              <w:rPr>
                <w:b/>
                <w:sz w:val="18"/>
              </w:rPr>
              <w:t>3</w:t>
            </w:r>
            <w:r>
              <w:rPr>
                <w:b/>
                <w:sz w:val="18"/>
              </w:rPr>
              <w:t>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588"/>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69"/>
            <w:tcBorders>
              <w:top w:val="none" w:color="000000" w:sz="4"/>
              <w:left w:val="none" w:color="000000" w:sz="4"/>
              <w:bottom w:val="single" w:color="000000" w:sz="4"/>
              <w:right w:val="single" w:color="000000" w:sz="4"/>
            </w:tcBorders>
            <w:vAlign w:val="top"/>
          </w:tcPr>
          <w:p>
            <w:pPr>
              <w:jc w:val="left"/>
            </w:pPr>
            <w:r>
              <w:rPr>
                <w:sz w:val="18"/>
              </w:rPr>
              <w:t>制度管理</w:t>
            </w:r>
          </w:p>
          <w:p>
            <w:pPr>
              <w:jc w:val="left"/>
            </w:pPr>
            <w:r>
              <w:rPr>
                <w:sz w:val="18"/>
              </w:rPr>
              <w:t>（</w:t>
            </w:r>
            <w:r>
              <w:rPr>
                <w:sz w:val="18"/>
              </w:rPr>
              <w:t>5</w:t>
            </w:r>
            <w:r>
              <w:rPr>
                <w:sz w:val="18"/>
              </w:rPr>
              <w:t>分）</w:t>
            </w:r>
          </w:p>
        </w:tc>
        <w:tc>
          <w:tcPr>
            <w:tcW w:type="dxa" w:w="2819"/>
            <w:tcBorders>
              <w:top w:val="none" w:color="000000" w:sz="4"/>
              <w:left w:val="none" w:color="000000" w:sz="4"/>
              <w:bottom w:val="single" w:color="000000" w:sz="4"/>
              <w:right w:val="single" w:color="000000" w:sz="4"/>
            </w:tcBorders>
            <w:vAlign w:val="top"/>
          </w:tcPr>
          <w:p>
            <w:pPr>
              <w:jc w:val="left"/>
            </w:pPr>
            <w:r>
              <w:rPr>
                <w:sz w:val="18"/>
              </w:rPr>
              <w:t>建立和健全服务质量管理制度、人员问责和奖惩制度、项目应急预案、项目结算资料管理监督机制、残疾人功能恢复评定机制、康复训练常规和技术操作流程、服务对象权益保障制度等，并落实执行。</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资料分析：服务质量管理制度、问责奖惩制度、项目风险评估报告，项目风险应急预案、残疾人功能恢复评定机制、康复训练常规和技术操作流程、服务对象权益保障制度等；</w:t>
            </w:r>
            <w:r>
              <w:br/>
            </w:r>
            <w:r>
              <w:rPr>
                <w:sz w:val="18"/>
              </w:rPr>
              <w:t>个别访谈：员工、服务对象。</w:t>
            </w:r>
          </w:p>
          <w:p>
            <w:pPr>
              <w:jc w:val="left"/>
            </w:pPr>
            <w:r>
              <w:rPr>
                <w:b/>
                <w:sz w:val="18"/>
              </w:rPr>
              <w:t>按要求提供相应的制度文本、资料，并了解各项制度落实执行情况，视执行情况酌情评分。</w:t>
            </w:r>
          </w:p>
          <w:p>
            <w:pPr>
              <w:jc w:val="left"/>
            </w:pPr>
            <w:r>
              <w:rPr>
                <w:b/>
                <w:sz w:val="18"/>
              </w:rPr>
              <w:t>每缺一项材料，或者提供的资料不符合项目规定，扣</w:t>
            </w:r>
            <w:r>
              <w:rPr>
                <w:b/>
                <w:sz w:val="18"/>
              </w:rPr>
              <w:t>1</w:t>
            </w:r>
            <w:r>
              <w:rPr>
                <w:b/>
                <w:sz w:val="18"/>
              </w:rPr>
              <w:t>分；缺乏四项或以上的材料，本条不得分。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5</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69"/>
            <w:vMerge w:val="restart"/>
            <w:tcBorders>
              <w:top w:val="none" w:color="000000" w:sz="4"/>
              <w:left w:val="none" w:color="000000" w:sz="4"/>
              <w:bottom w:val="single" w:color="000000" w:sz="4"/>
              <w:right w:val="single" w:color="000000" w:sz="4"/>
            </w:tcBorders>
            <w:vAlign w:val="top"/>
          </w:tcPr>
          <w:p>
            <w:pPr>
              <w:jc w:val="left"/>
            </w:pPr>
            <w:r>
              <w:rPr>
                <w:sz w:val="18"/>
              </w:rPr>
              <w:t>服务管理</w:t>
            </w:r>
          </w:p>
          <w:p>
            <w:pPr>
              <w:jc w:val="left"/>
            </w:pPr>
            <w:r>
              <w:rPr>
                <w:sz w:val="18"/>
              </w:rPr>
              <w:t>（</w:t>
            </w:r>
            <w:r>
              <w:rPr>
                <w:sz w:val="18"/>
              </w:rPr>
              <w:t>30</w:t>
            </w:r>
            <w:r>
              <w:rPr>
                <w:sz w:val="18"/>
              </w:rPr>
              <w:t>分）</w:t>
            </w:r>
          </w:p>
        </w:tc>
        <w:tc>
          <w:tcPr>
            <w:tcW w:type="dxa" w:w="2819"/>
            <w:tcBorders>
              <w:top w:val="none" w:color="000000" w:sz="4"/>
              <w:left w:val="none" w:color="000000" w:sz="4"/>
              <w:bottom w:val="single" w:color="000000" w:sz="4"/>
              <w:right w:val="single" w:color="000000" w:sz="4"/>
            </w:tcBorders>
            <w:vAlign w:val="top"/>
          </w:tcPr>
          <w:p>
            <w:pPr>
              <w:jc w:val="left"/>
            </w:pPr>
            <w:r>
              <w:rPr>
                <w:sz w:val="18"/>
              </w:rPr>
              <w:t>按照服务质量管理制度，项目团队关于优化项目管理的交流会议每月不少于一次，相关内容及时与购买方沟通。</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资料分析：服务质量管理制度、沟通会议记录、后续执行等相关痕迹资料；</w:t>
            </w:r>
          </w:p>
          <w:p>
            <w:pPr>
              <w:jc w:val="left"/>
            </w:pPr>
            <w:r>
              <w:rPr>
                <w:sz w:val="18"/>
              </w:rPr>
              <w:t>个别访谈</w:t>
            </w:r>
            <w:r>
              <w:rPr>
                <w:sz w:val="18"/>
              </w:rPr>
              <w:t>:</w:t>
            </w:r>
            <w:r>
              <w:rPr>
                <w:sz w:val="18"/>
              </w:rPr>
              <w:t>工作人员。</w:t>
            </w:r>
          </w:p>
          <w:p>
            <w:pPr>
              <w:jc w:val="left"/>
            </w:pPr>
            <w:r>
              <w:rPr>
                <w:b/>
                <w:sz w:val="18"/>
              </w:rPr>
              <w:t>建立服务质量管理制度并有相关的制度执行记录，每月开展不少于一次的交流会议，并有完整的沟通会议记录，得</w:t>
            </w:r>
            <w:r>
              <w:rPr>
                <w:b/>
                <w:sz w:val="18"/>
              </w:rPr>
              <w:t>2</w:t>
            </w:r>
            <w:r>
              <w:rPr>
                <w:b/>
                <w:sz w:val="18"/>
              </w:rPr>
              <w:t>分；有相关的后续跟进记录，得</w:t>
            </w:r>
            <w:r>
              <w:rPr>
                <w:b/>
                <w:sz w:val="18"/>
              </w:rPr>
              <w:t>2</w:t>
            </w:r>
            <w:r>
              <w:rPr>
                <w:b/>
                <w:sz w:val="18"/>
              </w:rPr>
              <w:t>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服务套表的记录内容必须做到严谨规范、原始真实、全面清晰，不得随意涂改，团队内部设立专人管理、监督，根据项目情况的变化持续更新、及时纠正。</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资料查阅：服务对象花名册、功能恢复评定记录、康复训练档案、康复服务记录表、服务情况统计表等。</w:t>
            </w:r>
          </w:p>
          <w:p>
            <w:pPr>
              <w:jc w:val="left"/>
            </w:pPr>
            <w:r>
              <w:rPr>
                <w:b/>
                <w:sz w:val="18"/>
              </w:rPr>
              <w:t>按要求提供相关的服务材料，缺一项扣</w:t>
            </w:r>
            <w:r>
              <w:rPr>
                <w:b/>
                <w:sz w:val="18"/>
              </w:rPr>
              <w:t>1</w:t>
            </w:r>
            <w:r>
              <w:rPr>
                <w:b/>
                <w:sz w:val="18"/>
              </w:rPr>
              <w:t>分；如出现分类不清晰，归档不及时或服务数据呈现不清晰，服务档案不完整、涂改等，酌情扣分；康复服务记录表、服务情况统计表如有造假，本条不得分。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康复训练设施、设备、包括康复评估设备和康复训练器材齐全，并能根据需求维护或更新。</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资料查阅、现场查阅、工作人员访谈。</w:t>
            </w:r>
          </w:p>
          <w:p>
            <w:pPr>
              <w:jc w:val="left"/>
            </w:pPr>
            <w:r>
              <w:rPr>
                <w:b/>
                <w:sz w:val="18"/>
              </w:rPr>
              <w:t>设备齐全，得</w:t>
            </w:r>
            <w:r>
              <w:rPr>
                <w:b/>
                <w:sz w:val="18"/>
              </w:rPr>
              <w:t>1.5</w:t>
            </w:r>
            <w:r>
              <w:rPr>
                <w:b/>
                <w:sz w:val="18"/>
              </w:rPr>
              <w:t>分；有相应的维护或更新记录，得</w:t>
            </w:r>
            <w:r>
              <w:rPr>
                <w:b/>
                <w:sz w:val="18"/>
              </w:rPr>
              <w:t>1.5</w:t>
            </w:r>
            <w:r>
              <w:rPr>
                <w:b/>
                <w:sz w:val="18"/>
              </w:rPr>
              <w:t>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按照项目评估时限提交相关服务资料，项目评估结果以及实际服务情况统计表作为结算依据（服务资料不得造假，如发现造假，将一次性扣除</w:t>
            </w:r>
            <w:r>
              <w:rPr>
                <w:sz w:val="18"/>
              </w:rPr>
              <w:t>15</w:t>
            </w:r>
            <w:r>
              <w:rPr>
                <w:sz w:val="18"/>
              </w:rPr>
              <w:t>分。）</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资料分析：康复服务记录表、服务情况统计表等。</w:t>
            </w:r>
          </w:p>
          <w:p>
            <w:pPr>
              <w:jc w:val="left"/>
            </w:pPr>
            <w:r>
              <w:rPr>
                <w:b/>
                <w:sz w:val="18"/>
              </w:rPr>
              <w:t>未按要求提供真实有效的服务资料或发现资料造假，本条不得分。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15</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69"/>
            <w:vMerge w:val="restart"/>
            <w:tcBorders>
              <w:top w:val="none" w:color="000000" w:sz="4"/>
              <w:left w:val="none" w:color="000000" w:sz="4"/>
              <w:bottom w:val="single" w:color="000000" w:sz="4"/>
              <w:right w:val="single" w:color="000000" w:sz="4"/>
            </w:tcBorders>
            <w:vAlign w:val="top"/>
          </w:tcPr>
          <w:p>
            <w:pPr>
              <w:jc w:val="left"/>
            </w:pPr>
            <w:r>
              <w:rPr>
                <w:sz w:val="18"/>
              </w:rPr>
              <w:t>服务执行</w:t>
            </w:r>
          </w:p>
          <w:p>
            <w:pPr>
              <w:jc w:val="left"/>
            </w:pPr>
            <w:r>
              <w:rPr>
                <w:sz w:val="18"/>
              </w:rPr>
              <w:t>（</w:t>
            </w:r>
            <w:r>
              <w:rPr>
                <w:sz w:val="18"/>
              </w:rPr>
              <w:t>25</w:t>
            </w:r>
            <w:r>
              <w:rPr>
                <w:sz w:val="18"/>
              </w:rPr>
              <w:t>分）</w:t>
            </w:r>
          </w:p>
        </w:tc>
        <w:tc>
          <w:tcPr>
            <w:tcW w:type="dxa" w:w="2819"/>
            <w:tcBorders>
              <w:top w:val="none" w:color="000000" w:sz="4"/>
              <w:left w:val="none" w:color="000000" w:sz="4"/>
              <w:bottom w:val="single" w:color="000000" w:sz="4"/>
              <w:right w:val="single" w:color="000000" w:sz="4"/>
            </w:tcBorders>
            <w:vAlign w:val="top"/>
          </w:tcPr>
          <w:p>
            <w:pPr>
              <w:jc w:val="left"/>
            </w:pPr>
            <w:r>
              <w:rPr>
                <w:sz w:val="18"/>
              </w:rPr>
              <w:t>项目人员按照康复训练常规和技术操作流程规范操作。</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资料查阅：康复训练常规和技术操作流程、抽查服务资料记录对应操作流程的规范性。</w:t>
            </w:r>
          </w:p>
          <w:p>
            <w:pPr>
              <w:jc w:val="left"/>
            </w:pPr>
            <w:r>
              <w:rPr>
                <w:b/>
                <w:sz w:val="18"/>
              </w:rPr>
              <w:t>按操作规范程度酌情评分。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2</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每季度对服务对象的康复效果进行评估，并形成完整的评估分析记录及统计分析报告，对康复服务进行分层分类，按需求制定适合服务对象的康复训练计划。</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资料查阅：康复服务评估档案，评估分析记录、统计分析报告、服务对象康复训练计划；</w:t>
            </w:r>
          </w:p>
          <w:p>
            <w:pPr>
              <w:jc w:val="left"/>
            </w:pPr>
            <w:r>
              <w:rPr>
                <w:sz w:val="18"/>
              </w:rPr>
              <w:t>服务对象访谈：康复训练计划的适切性。</w:t>
            </w:r>
          </w:p>
          <w:p>
            <w:pPr>
              <w:jc w:val="left"/>
            </w:pPr>
            <w:r>
              <w:rPr>
                <w:b/>
                <w:sz w:val="18"/>
              </w:rPr>
              <w:t>根据访谈和资料分析酌情评分。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根据中标</w:t>
            </w:r>
            <w:r>
              <w:rPr>
                <w:sz w:val="18"/>
              </w:rPr>
              <w:t>(</w:t>
            </w:r>
            <w:r>
              <w:rPr>
                <w:sz w:val="18"/>
              </w:rPr>
              <w:t>成交</w:t>
            </w:r>
            <w:r>
              <w:rPr>
                <w:sz w:val="21"/>
              </w:rPr>
              <w:t>)</w:t>
            </w:r>
            <w:r>
              <w:rPr>
                <w:sz w:val="18"/>
              </w:rPr>
              <w:t>时的服务实施方案，落实相关服务内容和要求。</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资料查阅、服务对象或家属访谈。</w:t>
            </w:r>
          </w:p>
          <w:p>
            <w:pPr>
              <w:jc w:val="left"/>
            </w:pPr>
            <w:r>
              <w:rPr>
                <w:b/>
                <w:sz w:val="18"/>
              </w:rPr>
              <w:t>根据访谈和资料分析酌情评分。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根据合同规定，每月进行康复训练、康复护理服务不少于</w:t>
            </w:r>
            <w:r>
              <w:rPr>
                <w:sz w:val="18"/>
              </w:rPr>
              <w:t>6</w:t>
            </w:r>
            <w:r>
              <w:rPr>
                <w:sz w:val="18"/>
              </w:rPr>
              <w:t>次，每次不少于</w:t>
            </w:r>
            <w:r>
              <w:rPr>
                <w:sz w:val="18"/>
              </w:rPr>
              <w:t>1</w:t>
            </w:r>
            <w:r>
              <w:rPr>
                <w:sz w:val="18"/>
              </w:rPr>
              <w:t>小时。</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资料查阅：康复训练档案、康复服务记录表、服务情况统计表；</w:t>
            </w:r>
          </w:p>
          <w:p>
            <w:pPr>
              <w:jc w:val="left"/>
            </w:pPr>
            <w:r>
              <w:rPr>
                <w:sz w:val="18"/>
              </w:rPr>
              <w:t>服务对象访谈：康复训练的内容、次数。</w:t>
            </w:r>
          </w:p>
          <w:p>
            <w:pPr>
              <w:jc w:val="left"/>
            </w:pPr>
            <w:r>
              <w:rPr>
                <w:b/>
                <w:sz w:val="18"/>
              </w:rPr>
              <w:t>根据访谈和资料分析，综合评分。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康复知识普及，每季度不少于</w:t>
            </w:r>
            <w:r>
              <w:rPr>
                <w:sz w:val="18"/>
              </w:rPr>
              <w:t>1</w:t>
            </w:r>
            <w:r>
              <w:rPr>
                <w:sz w:val="18"/>
              </w:rPr>
              <w:t>次。</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资料查阅：康复训练档案等服务资料；</w:t>
            </w:r>
          </w:p>
          <w:p>
            <w:pPr>
              <w:jc w:val="left"/>
            </w:pPr>
            <w:r>
              <w:rPr>
                <w:sz w:val="18"/>
              </w:rPr>
              <w:t>服务对象家属访谈：康复知识普及的内容、频率。</w:t>
            </w:r>
          </w:p>
          <w:p>
            <w:pPr>
              <w:jc w:val="left"/>
            </w:pPr>
            <w:r>
              <w:rPr>
                <w:b/>
                <w:sz w:val="18"/>
              </w:rPr>
              <w:t>根据康复训练资料和访谈的匹配度，综合评分。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69"/>
            <w:vMerge w:val="restart"/>
            <w:tcBorders>
              <w:top w:val="none" w:color="000000" w:sz="4"/>
              <w:left w:val="none" w:color="000000" w:sz="4"/>
              <w:bottom w:val="single" w:color="000000" w:sz="4"/>
              <w:right w:val="single" w:color="000000" w:sz="4"/>
            </w:tcBorders>
            <w:vAlign w:val="top"/>
          </w:tcPr>
          <w:p>
            <w:pPr>
              <w:jc w:val="left"/>
            </w:pPr>
            <w:r>
              <w:rPr>
                <w:sz w:val="18"/>
              </w:rPr>
              <w:t>服务成效</w:t>
            </w:r>
          </w:p>
          <w:p>
            <w:pPr>
              <w:jc w:val="left"/>
            </w:pPr>
            <w:r>
              <w:rPr>
                <w:sz w:val="18"/>
              </w:rPr>
              <w:t>（</w:t>
            </w:r>
            <w:r>
              <w:rPr>
                <w:sz w:val="18"/>
              </w:rPr>
              <w:t>25</w:t>
            </w:r>
            <w:r>
              <w:rPr>
                <w:sz w:val="18"/>
              </w:rPr>
              <w:t>分）</w:t>
            </w:r>
          </w:p>
        </w:tc>
        <w:tc>
          <w:tcPr>
            <w:tcW w:type="dxa" w:w="2819"/>
            <w:tcBorders>
              <w:top w:val="none" w:color="000000" w:sz="4"/>
              <w:left w:val="none" w:color="000000" w:sz="4"/>
              <w:bottom w:val="single" w:color="000000" w:sz="4"/>
              <w:right w:val="single" w:color="000000" w:sz="4"/>
            </w:tcBorders>
            <w:vAlign w:val="top"/>
          </w:tcPr>
          <w:p>
            <w:pPr>
              <w:jc w:val="left"/>
            </w:pPr>
            <w:r>
              <w:rPr>
                <w:sz w:val="18"/>
              </w:rPr>
              <w:t>每季度不少于一篇关于居家康复的事迹报道或典型案例。</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资料查阅：相关报道资料等。</w:t>
            </w:r>
          </w:p>
          <w:p>
            <w:pPr>
              <w:jc w:val="left"/>
            </w:pPr>
            <w:r>
              <w:rPr>
                <w:sz w:val="18"/>
              </w:rPr>
              <w:t>有相关报道或案例资料，得</w:t>
            </w:r>
            <w:r>
              <w:rPr>
                <w:sz w:val="18"/>
              </w:rPr>
              <w:t>2</w:t>
            </w:r>
            <w:r>
              <w:rPr>
                <w:sz w:val="18"/>
              </w:rPr>
              <w:t>分；内容真实具有代表性，得</w:t>
            </w:r>
            <w:r>
              <w:rPr>
                <w:sz w:val="18"/>
              </w:rPr>
              <w:t>2</w:t>
            </w:r>
            <w:r>
              <w:rPr>
                <w:sz w:val="18"/>
              </w:rPr>
              <w:t>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服务成效统计：服务对象的残疾程度、日常生活自理能力、并发症等发生与消除的统计，数据对比，原因分析。</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资料查阅：相关统计资料，康复训练档案等，服务对象访谈。</w:t>
            </w:r>
          </w:p>
          <w:p>
            <w:pPr>
              <w:jc w:val="left"/>
            </w:pPr>
            <w:r>
              <w:rPr>
                <w:b/>
                <w:sz w:val="18"/>
              </w:rPr>
              <w:t>根据访谈和资料分析，综合评分。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6</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对服务对象维持或改善情况的持续性关注及评估，相应调整康复训练计划并落实。</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资料查阅：康复服务评估档案、康复训练档案；</w:t>
            </w:r>
            <w:r>
              <w:br/>
            </w:r>
            <w:r>
              <w:rPr>
                <w:sz w:val="18"/>
              </w:rPr>
              <w:t>服务对象访谈。</w:t>
            </w:r>
          </w:p>
          <w:p>
            <w:pPr>
              <w:jc w:val="left"/>
            </w:pPr>
            <w:r>
              <w:rPr>
                <w:b/>
                <w:sz w:val="18"/>
              </w:rPr>
              <w:t>根据访谈和资料分析，综合评分。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关注社会影响力的塑造，如链接多方资源，帮助推动更多社会参与或加强社会影响力。</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资料查阅：项目宣传资料等。</w:t>
            </w:r>
          </w:p>
          <w:p>
            <w:pPr>
              <w:jc w:val="left"/>
            </w:pPr>
            <w:r>
              <w:rPr>
                <w:b/>
                <w:sz w:val="18"/>
              </w:rPr>
              <w:t>根据相应的项目宣传材料，资源链接汇总表，新闻报道等材料，酌情评分。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抽查服务对象电访康复服务情况，了解康复机构是否做足服务次数和时数，是否有康复指引和存在意见。</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资料查阅：服务对象访谈（每次评估抽取</w:t>
            </w:r>
            <w:r>
              <w:rPr>
                <w:sz w:val="18"/>
              </w:rPr>
              <w:t>20%</w:t>
            </w:r>
            <w:r>
              <w:rPr>
                <w:sz w:val="18"/>
              </w:rPr>
              <w:t>的服务对象，不重复抽取）。</w:t>
            </w:r>
          </w:p>
          <w:p>
            <w:pPr>
              <w:jc w:val="left"/>
            </w:pPr>
            <w:r>
              <w:rPr>
                <w:b/>
                <w:sz w:val="18"/>
              </w:rPr>
              <w:t>根据访谈结果酌情评分。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7734"/>
            <w:gridSpan w:val="4"/>
            <w:tcBorders>
              <w:top w:val="none" w:color="000000" w:sz="4"/>
              <w:left w:val="single" w:color="000000" w:sz="4"/>
              <w:bottom w:val="single" w:color="000000" w:sz="4"/>
              <w:right w:val="single" w:color="000000" w:sz="4"/>
            </w:tcBorders>
            <w:vAlign w:val="top"/>
          </w:tcPr>
          <w:p>
            <w:pPr>
              <w:jc w:val="center"/>
            </w:pPr>
            <w:r>
              <w:rPr>
                <w:sz w:val="18"/>
              </w:rPr>
              <w:t>总得分</w:t>
            </w:r>
          </w:p>
        </w:tc>
        <w:tc>
          <w:tcPr>
            <w:tcW w:type="dxa" w:w="573"/>
            <w:tcBorders>
              <w:top w:val="none" w:color="000000" w:sz="4"/>
              <w:left w:val="none" w:color="000000" w:sz="4"/>
              <w:bottom w:val="single" w:color="000000" w:sz="4"/>
              <w:right w:val="single" w:color="000000" w:sz="4"/>
            </w:tcBorders>
            <w:vAlign w:val="top"/>
          </w:tcPr>
          <w:p>
            <w:pPr>
              <w:jc w:val="both"/>
            </w:pPr>
          </w:p>
        </w:tc>
      </w:tr>
    </w:tbl>
    <w:p>
      <w:pPr>
        <w:jc w:val="both"/>
      </w:pPr>
    </w:p>
    <w:p/>
    <w:p>
      <w:pPr>
        <w:ind w:firstLine="480"/>
      </w:pPr>
    </w:p>
    <w:p>
      <w:r>
        <w:rPr/>
        <w:t xml:space="preserve"> </w:t>
      </w:r>
    </w:p>
    <w:p/>
    <w:p>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按照谈判文件要求，供应商应当提交的资格、资信证明文件。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440604-2023-02548</w:t>
      </w:r>
    </w:p>
    <w:p>
      <w:pPr>
        <w:jc w:val="center"/>
      </w:pPr>
      <w:r>
        <w:rPr>
          <w:b/>
          <w:sz w:val="24"/>
        </w:rPr>
        <w:t>采购项目编号：</w:t>
      </w:r>
      <w:r>
        <w:rPr>
          <w:b/>
          <w:sz w:val="24"/>
        </w:rPr>
        <w:t>XY0123051J</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响应承诺函</w:t>
      </w:r>
    </w:p>
    <w:p>
      <w:pPr>
        <w:ind w:firstLine="480"/>
      </w:pPr>
      <w:r>
        <w:rPr/>
        <w:t>致：</w:t>
      </w:r>
      <w:r>
        <w:rPr>
          <w:u w:val="single"/>
        </w:rPr>
        <w:t>佛山市信悦咨询有限公司</w:t>
      </w:r>
    </w:p>
    <w:p>
      <w:pPr>
        <w:ind w:firstLine="480"/>
      </w:pPr>
      <w:r>
        <w:rPr/>
        <w:t>你方组织的</w:t>
      </w:r>
      <w:r>
        <w:rPr>
          <w:u w:val="single"/>
        </w:rPr>
        <w:t>“</w:t>
      </w:r>
      <w:r>
        <w:rPr>
          <w:u w:val="single"/>
        </w:rPr>
        <w:t>禅城区肢体残疾人居家康复服务采购(三次)</w:t>
      </w:r>
      <w:r>
        <w:rPr>
          <w:u w:val="single"/>
        </w:rPr>
        <w:t>”</w:t>
      </w:r>
      <w:r>
        <w:rPr/>
        <w:t>项目的竞争性谈判[采购项目编号为：</w:t>
      </w:r>
      <w:r>
        <w:rPr>
          <w:u w:val="single"/>
        </w:rPr>
        <w:t>XY0123051J</w:t>
      </w:r>
      <w:r>
        <w:rPr/>
        <w:t>]，我方愿参与谈判。</w:t>
      </w:r>
    </w:p>
    <w:p>
      <w:pPr>
        <w:ind w:firstLine="480"/>
      </w:pPr>
      <w:r>
        <w:rPr/>
        <w:t>我方确认收到贵方提供的</w:t>
      </w:r>
      <w:r>
        <w:rPr>
          <w:u w:val="single"/>
        </w:rPr>
        <w:t>“</w:t>
      </w:r>
      <w:r>
        <w:rPr>
          <w:u w:val="single"/>
        </w:rPr>
        <w:t>禅城区肢体残疾人居家康复服务采购(三次)</w:t>
      </w:r>
      <w:r>
        <w:rPr>
          <w:u w:val="single"/>
        </w:rPr>
        <w:t>”</w:t>
      </w:r>
      <w:r>
        <w:rPr/>
        <w:t>项目的谈判文件的全部内容。</w:t>
      </w:r>
    </w:p>
    <w:p>
      <w:pPr>
        <w:ind w:firstLine="480"/>
      </w:pPr>
      <w:r>
        <w:rPr/>
        <w:t>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我方已完全明白谈判文件的所有条款要求，并申明如下：</w:t>
      </w:r>
    </w:p>
    <w:p>
      <w:pPr>
        <w:ind w:firstLine="480"/>
      </w:pPr>
      <w:r>
        <w:rPr/>
        <w:t>（一）按谈判文件提供的全部货物（工程、服务）与相关服务的谈判总价详见《首轮报价表》。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（五）我方如果成交，将保证履行谈判文件及其澄清、修改文件（如果有）中的全部责任和义务，按质、按量、按期完成《采购需求》及《合同书》中的全部任务。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（七）我方谈判报价已包含应向知识产权所有权人支付的所有相关税费，并保证采购人在中国使用我方提供的货物时，如有第三方提出侵犯其知识产权主张的，责任由我方承担。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以上内容如有虚假或与事实不符的，谈判小组可将我方做无效响应处理，我方愿意承担相应的法律责任。</w:t>
      </w:r>
    </w:p>
    <w:p>
      <w:pPr>
        <w:ind w:firstLine="480"/>
      </w:pPr>
      <w:r>
        <w:rPr/>
        <w:t>（十三）我方对在本函及响应文件中所作的所有承诺承担法律责任。</w:t>
      </w:r>
    </w:p>
    <w:p>
      <w:pPr>
        <w:ind w:firstLine="480"/>
      </w:pPr>
      <w:r>
        <w:rPr/>
        <w:t>（十四）所有与本谈判有关的函件请发往下列地址：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首轮报价表</w:t>
      </w:r>
    </w:p>
    <w:p>
      <w:pPr>
        <w:ind w:firstLine="480"/>
      </w:pPr>
      <w:r>
        <w:rPr/>
        <w:t>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w:t>
      </w:r>
    </w:p>
    <w:p>
      <w:pPr>
        <w:ind w:firstLine="480"/>
      </w:pPr>
    </w:p>
    <w:p>
      <w:pPr>
        <w:ind w:firstLine="480"/>
      </w:pPr>
    </w:p>
    <w:p>
      <w:pPr>
        <w:jc w:val="right"/>
      </w:pPr>
      <w:r>
        <w:rPr/>
        <w:t>供应商名称（盖章）：__________________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禅城区肢体残疾人居家康复服务采购(三次)</w:t>
      </w:r>
      <w:r>
        <w:rPr/>
        <w:t>”项目采购[采购项目编号为</w:t>
      </w:r>
      <w:r>
        <w:rPr/>
        <w:t>XY0123051J</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r>
        <w:rPr>
          <w:b/>
          <w:sz w:val="28"/>
        </w:rPr>
        <w:t>格式七：</w:t>
      </w:r>
    </w:p>
    <w:p>
      <w:pPr>
        <w:jc w:val="center"/>
      </w:pPr>
      <w:r>
        <w:rPr>
          <w:b/>
          <w:sz w:val="24"/>
        </w:rPr>
        <w:t>响应保证金</w:t>
      </w:r>
    </w:p>
    <w:p>
      <w:pPr>
        <w:ind w:firstLine="480"/>
      </w:pPr>
      <w:r>
        <w:rPr/>
        <w:t>谈判文件要求递交响应保证金的，供应商应在此提供保证金的凭证的复印件。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佛山市禅城区民政局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中小企业声明函（所响应产品制造商为中小企业时提交本函，所属行业应符合谈判文件中明确的本项目所属行业）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中小企业声明函（承建本项目工程为中小企业或者承接本项目服务为中小企业时提交本函，所属行业应符合谈判文件中明确的本项目所属行业）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作为联合体的牵头单位，代表联合体双方负责谈判和合同实施阶段的主办、协调工作。</w:t>
      </w:r>
    </w:p>
    <w:p>
      <w:pPr>
        <w:ind w:firstLine="480"/>
      </w:pPr>
      <w:r>
        <w:rPr/>
        <w:t>2.联合体将严格按照文件的各项要求，递交谈判文件，切实执行一切合同文件，共同承担合同规定的一切义务和责任，同时按照内部职责的划分，承担自身所负的责任和风险，在法律在承担连带责任。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六、本协议书正本一式_____份，随谈判文件装订_____份，送采购人_____份，联合体成员各一份；副本一式_____份，联合体成员各执_____份。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根据上述业绩情况，按谈判文件要求附销售或服务合同复印件。</w:t>
      </w:r>
    </w:p>
    <w:p>
      <w:pPr>
        <w:ind w:firstLine="480"/>
      </w:pPr>
    </w:p>
    <w:p>
      <w:r>
        <w:rPr/>
        <w:t xml:space="preserve"> </w:t>
      </w:r>
    </w:p>
    <w:p/>
    <w:p>
      <w:r>
        <w:rPr>
          <w:b/>
          <w:sz w:val="28"/>
        </w:rPr>
        <w:t>格式十六：</w:t>
      </w:r>
    </w:p>
    <w:p>
      <w:pPr>
        <w:jc w:val="center"/>
      </w:pPr>
      <w:r>
        <w:rPr>
          <w:b/>
          <w:sz w:val="24"/>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谈判文件规定的技术和服务要求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2.参数性质栏目按谈判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谈判文件规定的商务条件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1.“谈判文件规定的商务条件”项下填写的内容应与谈判文件中采购需求的“商务要求”的内容保持一致。</w:t>
      </w:r>
    </w:p>
    <w:p>
      <w:pPr>
        <w:ind w:firstLine="480"/>
      </w:pPr>
      <w:r>
        <w:rPr/>
        <w:t>2.</w:t>
        <w:tab/>
        <w:tab/>
        <w:t xml:space="preserve">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3.</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jc w:val="center"/>
      </w:pPr>
      <w:r>
        <w:rPr>
          <w:b/>
          <w:sz w:val="24"/>
        </w:rPr>
        <w:t>各类证明材料</w:t>
      </w:r>
    </w:p>
    <w:p>
      <w:pPr>
        <w:ind w:firstLine="480"/>
      </w:pPr>
      <w:r>
        <w:rPr/>
        <w:t>1.谈判文件要求提供的其他资料。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代理服务费支付承诺书</w:t>
      </w:r>
    </w:p>
    <w:p>
      <w:pPr>
        <w:ind w:firstLine="480"/>
      </w:pPr>
      <w:r>
        <w:rPr/>
        <w:t>致：</w:t>
      </w:r>
      <w:r>
        <w:rPr/>
        <w:t>佛山市信悦咨询有限公司</w:t>
      </w:r>
    </w:p>
    <w:p>
      <w:pPr>
        <w:ind w:firstLine="480"/>
      </w:pPr>
      <w:r>
        <w:rPr/>
        <w:t>1、完全响应谈判文件中要求的条款，若提供虚假资料将作为无效响应处理，并接受相关部门的处罚。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谈判、评审、确定成交供应商，以及提供采购前期咨询、协调合同的签订等服务，按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禅城区肢体残疾人居家康复服务采购(三次)</w:t>
      </w:r>
      <w:r>
        <w:rPr/>
        <w:t>”项目（采购项目编号：</w:t>
      </w:r>
      <w:r>
        <w:rPr/>
        <w:t>XY0123051J</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jc w:val="right"/>
      </w:pPr>
      <w:r>
        <w:rPr/>
        <w:t>询问人（公章）：_____________________</w:t>
      </w:r>
    </w:p>
    <w:p>
      <w:pPr>
        <w:jc w:val="right"/>
      </w:pPr>
      <w:r>
        <w:rPr/>
        <w:t>法定代表人或授权代表（签字或盖章）：_____________________</w:t>
      </w:r>
    </w:p>
    <w:p>
      <w:pPr>
        <w:jc w:val="right"/>
      </w:pPr>
      <w:r>
        <w:rPr/>
        <w:t>地址/邮编：_____________________</w:t>
      </w:r>
    </w:p>
    <w:p>
      <w:pPr>
        <w:jc w:val="right"/>
      </w:pPr>
      <w:r>
        <w:rPr/>
        <w:t>电话/传真：_____________________</w:t>
      </w:r>
    </w:p>
    <w:p>
      <w:pPr>
        <w:jc w:val="right"/>
      </w:pPr>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谈判文件获取日期：_____________________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请求：__________________________________________</w:t>
      </w:r>
    </w:p>
    <w:p>
      <w:pPr>
        <w:jc w:val="right"/>
      </w:pPr>
      <w:r>
        <w:rPr/>
        <w:t>签字(签章)： 公章：</w:t>
      </w:r>
    </w:p>
    <w:p>
      <w:pPr>
        <w:jc w:val="right"/>
      </w:pPr>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谈判文件公告: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w:t>
      </w:r>
    </w:p>
    <w:p>
      <w:pPr>
        <w:ind w:firstLine="480"/>
      </w:pPr>
      <w:r>
        <w:rPr/>
        <w:t>采购人/代理机构于____年____月____日,就质疑事项作出了答复/没有在法定期限内作出答复。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 ________公章________</w:t>
      </w:r>
    </w:p>
    <w:p>
      <w:pPr>
        <w:jc w:val="right"/>
      </w:pPr>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r>
        <w:rPr>
          <w:b/>
          <w:sz w:val="28"/>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r>
        <w:rPr>
          <w:b/>
          <w:sz w:val="28"/>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r>
        <w:rPr>
          <w:b/>
          <w:sz w:val="28"/>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r>
        <w:rPr>
          <w:b/>
          <w:sz w:val="28"/>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r>
        <w:rPr>
          <w:b/>
          <w:sz w:val="28"/>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r>
        <w:rPr>
          <w:b/>
          <w:sz w:val="28"/>
        </w:rPr>
        <w:t>六、争议的解决</w:t>
      </w:r>
    </w:p>
    <w:p>
      <w:pPr>
        <w:ind w:firstLine="480"/>
      </w:pPr>
      <w:r>
        <w:rPr/>
        <w:t>因本保函发生的纠纷，由你我双方协商解决，协商不成的，通过诉讼程序解决，诉讼管辖地法院为___________法院。</w:t>
      </w:r>
    </w:p>
    <w:p>
      <w:r>
        <w:rPr>
          <w:b/>
          <w:sz w:val="28"/>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联系人：____________________联系电话：____________________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