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440604-2023-02548</w:t>
      </w:r>
    </w:p>
    <w:p>
      <w:pPr>
        <w:jc w:val="center"/>
      </w:pPr>
      <w:r>
        <w:rPr>
          <w:b/>
          <w:sz w:val="24"/>
        </w:rPr>
        <w:t>采购项目编号：</w:t>
      </w:r>
      <w:r>
        <w:rPr>
          <w:b/>
          <w:sz w:val="24"/>
        </w:rPr>
        <w:t>XY0123051</w:t>
      </w:r>
    </w:p>
    <w:p>
      <w:pPr>
        <w:jc w:val="center"/>
      </w:pPr>
      <w:r>
        <w:rPr>
          <w:b/>
          <w:sz w:val="24"/>
        </w:rPr>
        <w:t>项目名称：</w:t>
      </w:r>
      <w:r>
        <w:rPr>
          <w:b/>
          <w:sz w:val="24"/>
        </w:rPr>
        <w:t>禅城区肢体残疾人居家康复服务采购</w:t>
      </w:r>
    </w:p>
    <w:p>
      <w:pPr>
        <w:jc w:val="center"/>
      </w:pPr>
      <w:r>
        <w:rPr>
          <w:b/>
          <w:sz w:val="24"/>
        </w:rPr>
        <w:t>采购人：</w:t>
      </w:r>
      <w:r>
        <w:rPr>
          <w:b/>
          <w:sz w:val="24"/>
        </w:rPr>
        <w:t>佛山市禅城区民政局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佛山市禅城区民政局</w:t>
      </w:r>
      <w:r>
        <w:rPr/>
        <w:t>的委托，采用</w:t>
      </w:r>
      <w:r>
        <w:rPr/>
        <w:t>公开招标</w:t>
      </w:r>
      <w:r>
        <w:rPr/>
        <w:t>方式组织采购</w:t>
      </w:r>
      <w:r>
        <w:rPr/>
        <w:t>禅城区肢体残疾人居家康复服务采购</w:t>
      </w:r>
      <w:r>
        <w:rPr/>
        <w:t>。欢迎符合资格条件的国内供应商参加投标。</w:t>
      </w:r>
    </w:p>
    <w:p>
      <w:r>
        <w:rPr>
          <w:b/>
          <w:sz w:val="28"/>
        </w:rPr>
        <w:t>一.项目概述</w:t>
      </w:r>
    </w:p>
    <w:p>
      <w:r>
        <w:rPr>
          <w:b/>
          <w:sz w:val="24"/>
        </w:rPr>
        <w:t>1.名称与编号</w:t>
      </w:r>
    </w:p>
    <w:p>
      <w:pPr>
        <w:ind w:firstLine="480"/>
      </w:pPr>
      <w:r>
        <w:rPr/>
        <w:t>项目名称：</w:t>
      </w:r>
      <w:r>
        <w:rPr/>
        <w:t>禅城区肢体残疾人居家康复服务采购</w:t>
      </w:r>
    </w:p>
    <w:p>
      <w:pPr>
        <w:ind w:firstLine="480"/>
      </w:pPr>
      <w:r>
        <w:rPr/>
        <w:t>采购计划编号：</w:t>
      </w:r>
      <w:r>
        <w:rPr/>
        <w:t>440604-2023-02548</w:t>
      </w:r>
    </w:p>
    <w:p>
      <w:pPr>
        <w:ind w:firstLine="480"/>
      </w:pPr>
      <w:r>
        <w:rPr/>
        <w:t>采购项目编号：</w:t>
      </w:r>
      <w:r>
        <w:rPr/>
        <w:t>XY0123051</w:t>
      </w:r>
    </w:p>
    <w:p>
      <w:pPr>
        <w:ind w:firstLine="480"/>
      </w:pPr>
      <w:r>
        <w:rPr/>
        <w:t>采购方式：</w:t>
      </w:r>
      <w:r>
        <w:rPr/>
        <w:t>公开招标</w:t>
      </w:r>
    </w:p>
    <w:p>
      <w:pPr>
        <w:ind w:firstLine="480"/>
      </w:pPr>
      <w:r>
        <w:rPr/>
        <w:t>预算金额：</w:t>
      </w:r>
      <w:r>
        <w:rPr/>
        <w:t>7,214,400.00</w:t>
      </w:r>
      <w:r>
        <w:rPr/>
        <w:t>元</w:t>
      </w:r>
    </w:p>
    <w:p>
      <w:r>
        <w:rPr>
          <w:b/>
          <w:sz w:val="24"/>
        </w:rPr>
        <w:t>2.项目内容及需求情况（采购项目技术规格、参数及要求）</w:t>
      </w:r>
    </w:p>
    <w:p>
      <w:pPr>
        <w:ind w:firstLine="480"/>
      </w:pPr>
    </w:p>
    <w:p/>
    <w:p>
      <w:r>
        <w:rPr/>
        <w:t>采购包1(禅城区肢体残疾人居家康复服务采购):</w:t>
      </w:r>
    </w:p>
    <w:p>
      <w:r>
        <w:rPr/>
        <w:t>采购包预算金额：7,214,400.00元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康复服务</w:t>
            </w:r>
          </w:p>
        </w:tc>
        <w:tc>
          <w:tcPr>
            <w:tcW w:type="dxa" w:w="2052"/>
          </w:tcPr>
          <w:p>
            <w:r>
              <w:rPr/>
              <w:t>禅城区肢体残疾人居家康复服务采购</w:t>
            </w:r>
          </w:p>
        </w:tc>
        <w:tc>
          <w:tcPr>
            <w:tcW w:type="dxa" w:w="977"/>
          </w:tcPr>
          <w:p>
            <w:r>
              <w:rPr/>
              <w:t>1.00(项)</w:t>
            </w:r>
          </w:p>
        </w:tc>
        <w:tc>
          <w:tcPr>
            <w:tcW w:type="dxa" w:w="977"/>
          </w:tcPr>
          <w:p>
            <w:r>
              <w:rPr/>
              <w:t>详见第二章</w:t>
            </w:r>
          </w:p>
        </w:tc>
        <w:tc>
          <w:tcPr>
            <w:tcW w:type="dxa" w:w="977"/>
          </w:tcPr>
          <w:p>
            <w:r>
              <w:rPr/>
              <w:t>7,214,400.00</w:t>
            </w:r>
          </w:p>
        </w:tc>
        <w:tc>
          <w:tcPr>
            <w:tcW w:type="dxa" w:w="977"/>
          </w:tcPr>
          <w:p>
            <w:r>
              <w:rPr/>
              <w:t>否</w:t>
            </w:r>
          </w:p>
        </w:tc>
      </w:tr>
    </w:tbl>
    <w:p/>
    <w:p>
      <w:r>
        <w:rPr/>
        <w:t>本采购包不接受联合体投标</w:t>
      </w:r>
    </w:p>
    <w:p/>
    <w:p>
      <w:r>
        <w:rPr/>
        <w:t>合同履行期限：服务期为三年，自2023年9月1日至2026年8月31日。合同一年一签，第一年（2023年9月1日至2024年8月31日）合同履行完毕后，采购人根据资金落实情况与对中标人考核情况决定是否续签下一年合同。</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采购包1（禅城区肢体残疾人居家康复服务采购）：</w:t>
      </w:r>
      <w:r>
        <w:rPr/>
        <w:t>本项目不属于专门面向中小企业采购的项目。</w:t>
      </w:r>
    </w:p>
    <w:p/>
    <w:p>
      <w:r>
        <w:rPr>
          <w:b/>
          <w:sz w:val="24"/>
        </w:rPr>
        <w:t>3.本项目特定的资格要求：</w:t>
      </w:r>
    </w:p>
    <w:p>
      <w:pPr>
        <w:ind w:firstLine="480"/>
      </w:pPr>
    </w:p>
    <w:p/>
    <w:p>
      <w:r>
        <w:rPr/>
        <w:t>采购包1（禅城区肢体残疾人居家康复服务采购）：</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3)投标人须具有有效期内的《医疗机构执业许可证》（提供证书扫描件）。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佛山市禅城区民政局</w:t>
      </w:r>
    </w:p>
    <w:p>
      <w:pPr>
        <w:ind w:firstLine="480"/>
      </w:pPr>
      <w:r>
        <w:rPr/>
        <w:t>地址：</w:t>
      </w:r>
      <w:r>
        <w:rPr/>
        <w:t>佛山市禅城区华远东路62号</w:t>
      </w:r>
    </w:p>
    <w:p>
      <w:pPr>
        <w:ind w:firstLine="480"/>
      </w:pPr>
      <w:r>
        <w:rPr/>
        <w:t>联系方式：</w:t>
      </w:r>
      <w:r>
        <w:rPr/>
        <w:t>0757-82345591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佛山市禅城区肢体残疾人居家康复（训练、护理）服务合同到期，为进一步保障残疾人康复权益，做好禅城区肢体残疾人居家康复服务采购工作，现该项目需进行服务资格的招标工作，具体方案如下：</w:t>
      </w:r>
    </w:p>
    <w:p/>
    <w:p>
      <w:pPr>
        <w:ind w:firstLine="480"/>
      </w:pPr>
    </w:p>
    <w:p/>
    <w:p>
      <w:r>
        <w:rPr/>
        <w:t>采购包1（禅城区肢体残疾人居家康复服务采购）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★服务期为三年，自2023年9月1日至2026年8月31日。合同一年一签，第一年（2023年9月1日至2024年8月31日）合同履行完毕后，采购人根据资金落实情况与对中标人考核情况决定是否续签下一年合同。</w:t>
            </w:r>
          </w:p>
        </w:tc>
      </w:tr>
      <w:tr>
        <w:tc>
          <w:tcPr>
            <w:tcW w:type="dxa" w:w="4153"/>
          </w:tcPr>
          <w:p>
            <w:r>
              <w:rPr/>
              <w:t>标的提供的地点</w:t>
            </w:r>
          </w:p>
        </w:tc>
        <w:tc>
          <w:tcPr>
            <w:tcW w:type="dxa" w:w="4153"/>
          </w:tcPr>
          <w:p/>
          <w:p>
            <w:r>
              <w:rPr/>
              <w:t>佛山市采购人指定地点，佛山市禅城区。</w:t>
            </w:r>
          </w:p>
        </w:tc>
      </w:tr>
      <w:tr>
        <w:tc>
          <w:tcPr>
            <w:tcW w:type="dxa" w:w="4153"/>
          </w:tcPr>
          <w:p>
            <w:r>
              <w:rPr/>
              <w:t>付款方式</w:t>
            </w:r>
          </w:p>
        </w:tc>
        <w:tc>
          <w:tcPr>
            <w:tcW w:type="dxa" w:w="4153"/>
          </w:tcPr>
          <w:p/>
          <w:p/>
          <w:p>
            <w:r>
              <w:rPr/>
              <w:t>1期：支付比例100%,★1.自合同生效之日起，每季度结算一次，在每季度结束后的次月进行结算，中标人向采购人或佛山市禅城区残疾人联合会报送服务情况统计表，统计情况必须准确、真实、有效，最终以采购人或佛山市禅城区残疾人联合会审核为准。结算的金额=合同单价×采购人或佛山市禅城区残疾人联合会审核确定的实际工作量-考核应扣服务费（如有）。 2.合同支付款项前，中标人必须先向采购人提供与支付金额相符的有效发票，且收款方、出具发票方、合同乙方均必须与中标人名称一致。采购人应当自收到发票后10日内将资金支付到中标人账户。本项目年度最高结算金额不超过当年度总预算金额即7,214,400.00÷3=2,404,800.00（元）。 中标人凭以下有效文件与采购人结算： （1）合同； （2）中标人开具的正式发票； （3）中标通知书。</w:t>
            </w:r>
          </w:p>
        </w:tc>
      </w:tr>
      <w:tr>
        <w:tc>
          <w:tcPr>
            <w:tcW w:type="dxa" w:w="4153"/>
          </w:tcPr>
          <w:p>
            <w:r>
              <w:rPr/>
              <w:t>验收要求</w:t>
            </w:r>
          </w:p>
        </w:tc>
        <w:tc>
          <w:tcPr>
            <w:tcW w:type="dxa" w:w="4153"/>
          </w:tcPr>
          <w:p/>
          <w:p/>
          <w:p/>
          <w:p>
            <w:r>
              <w:rPr/>
              <w:t>1期：采购人或佛山市禅城区残疾人联合会在收到中标人的验收建议之日起7日内按照合同的约定对履约情况进行验收，具体按本项目考核评估要求和合同执行。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1，★供应商须对本项目为单位的服务内容进行整体响应，任何只对其中一部分服务内容进行的响应都被视为无效投标。 本项目不允许分包。</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采用单价形式报价，投标单价超出最高单价限价（100元/人/次），投标将被否决。报价包含但不限于以下费用：服务费、交通费、税金以及项目实施过程中其它可预见和不可预见费用等完成本采购项目、达到采购人目的一切费用。</w:t>
            </w:r>
          </w:p>
        </w:tc>
      </w:tr>
      <w:tr>
        <w:tc>
          <w:tcPr>
            <w:tcW w:type="dxa" w:w="2076"/>
          </w:tcPr>
          <w:p>
            <w:pPr>
              <w:jc w:val="center"/>
            </w:pPr>
            <w:r>
              <w:rPr/>
              <w:t>★</w:t>
            </w:r>
          </w:p>
        </w:tc>
        <w:tc>
          <w:tcPr>
            <w:tcW w:type="dxa" w:w="2076"/>
          </w:tcPr>
          <w:p>
            <w:pPr>
              <w:jc w:val="center"/>
            </w:pPr>
            <w:r>
              <w:rPr/>
              <w:t>2</w:t>
            </w:r>
          </w:p>
        </w:tc>
        <w:tc>
          <w:tcPr>
            <w:tcW w:type="dxa" w:w="2076"/>
          </w:tcPr>
          <w:p>
            <w:pPr>
              <w:jc w:val="left"/>
            </w:pPr>
            <w:r>
              <w:rPr/>
              <w:t>服务时间和服务费用标准</w:t>
            </w:r>
          </w:p>
        </w:tc>
        <w:tc>
          <w:tcPr>
            <w:tcW w:type="dxa" w:w="2076"/>
          </w:tcPr>
          <w:p>
            <w:pPr>
              <w:jc w:val="left"/>
            </w:pPr>
            <w:r>
              <w:rPr/>
              <w:t>康复对象每人每月享受上门或部分时间集中的康复服务6次，每次服务时间不少于1小时，服务费用标准为不高于100元（人民币）/次，按实际服务人次数结算，每人总费用不超过600元（人民币）/月。</w:t>
            </w:r>
          </w:p>
        </w:tc>
      </w:tr>
      <w:tr>
        <w:tc>
          <w:tcPr>
            <w:tcW w:type="dxa" w:w="2076"/>
          </w:tcPr>
          <w:p>
            <w:pPr>
              <w:jc w:val="center"/>
            </w:pPr>
          </w:p>
        </w:tc>
        <w:tc>
          <w:tcPr>
            <w:tcW w:type="dxa" w:w="2076"/>
          </w:tcPr>
          <w:p>
            <w:pPr>
              <w:jc w:val="center"/>
            </w:pPr>
            <w:r>
              <w:rPr/>
              <w:t>3</w:t>
            </w:r>
          </w:p>
        </w:tc>
        <w:tc>
          <w:tcPr>
            <w:tcW w:type="dxa" w:w="2076"/>
          </w:tcPr>
          <w:p>
            <w:pPr>
              <w:jc w:val="left"/>
            </w:pPr>
            <w:r>
              <w:rPr/>
              <w:t>其他说明</w:t>
            </w:r>
          </w:p>
        </w:tc>
        <w:tc>
          <w:tcPr>
            <w:tcW w:type="dxa" w:w="2076"/>
          </w:tcPr>
          <w:p>
            <w:pPr>
              <w:jc w:val="left"/>
            </w:pPr>
            <w:r>
              <w:rPr/>
              <w:t>1.本项目采购人为佛山市禅城区民政局，服务管理单位为佛山市禅城区残疾人联合会，由佛山市禅城区残疾人联合会对中标人提供的服务进行监管与考核。 2.中标人应保障服务人员在项目服务过程中的人身与财产安全，服务人员在项目服务工作（含路途）中出现的安全风险、以及在服务过程中造成的服务对象安全风险均由中标人承担。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康复服务</w:t>
            </w:r>
          </w:p>
        </w:tc>
        <w:tc>
          <w:tcPr>
            <w:tcW w:type="dxa" w:w="933"/>
          </w:tcPr>
          <w:p>
            <w:pPr>
              <w:jc w:val="left"/>
            </w:pPr>
            <w:r>
              <w:rPr/>
              <w:t>禅城区肢体残疾人居家康复服务采购</w:t>
            </w:r>
          </w:p>
        </w:tc>
        <w:tc>
          <w:tcPr>
            <w:tcW w:type="dxa" w:w="933"/>
          </w:tcPr>
          <w:p>
            <w:pPr>
              <w:jc w:val="left"/>
            </w:pPr>
            <w:r>
              <w:rPr/>
              <w:t>项</w:t>
            </w:r>
          </w:p>
        </w:tc>
        <w:tc>
          <w:tcPr>
            <w:tcW w:type="dxa" w:w="933"/>
          </w:tcPr>
          <w:p>
            <w:pPr>
              <w:jc w:val="right"/>
            </w:pPr>
            <w:r>
              <w:rPr/>
              <w:t>1.00</w:t>
            </w:r>
          </w:p>
        </w:tc>
        <w:tc>
          <w:tcPr>
            <w:tcW w:type="dxa" w:w="933"/>
          </w:tcPr>
          <w:p>
            <w:pPr>
              <w:jc w:val="right"/>
            </w:pPr>
            <w:r>
              <w:rPr/>
              <w:t>7,214,400.00</w:t>
            </w:r>
          </w:p>
        </w:tc>
        <w:tc>
          <w:tcPr>
            <w:tcW w:type="dxa" w:w="933"/>
          </w:tcPr>
          <w:p>
            <w:pPr>
              <w:jc w:val="right"/>
            </w:pPr>
            <w:r>
              <w:rPr/>
              <w:t>7,214,400.00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禅城区肢体残疾人居家康复服务采购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一、服务目标</w:t>
            </w:r>
          </w:p>
          <w:p>
            <w:r>
              <w:rPr>
                <w:sz w:val="21"/>
              </w:rPr>
              <w:t>在最佳康复期内，</w:t>
            </w:r>
            <w:r>
              <w:rPr>
                <w:sz w:val="21"/>
              </w:rPr>
              <w:t>帮助肢体残疾人防止并发症的发生和残疾程度加重，提高日常生活自理能力与就业能力，以达到功能重建，提高生活质量</w:t>
            </w:r>
            <w:r>
              <w:rPr>
                <w:sz w:val="21"/>
              </w:rPr>
              <w:t>、</w:t>
            </w:r>
            <w:r>
              <w:rPr>
                <w:sz w:val="21"/>
              </w:rPr>
              <w:t>融入社会的目的。</w:t>
            </w:r>
          </w:p>
          <w:p>
            <w:pPr>
              <w:jc w:val="both"/>
            </w:pPr>
            <w:r>
              <w:rPr/>
              <w:t xml:space="preserve"> </w:t>
            </w:r>
          </w:p>
          <w:p>
            <w:pPr>
              <w:jc w:val="left"/>
            </w:pPr>
          </w:p>
        </w:tc>
      </w:tr>
      <w:tr>
        <w:tc>
          <w:tcPr>
            <w:tcW w:type="dxa" w:w="2076"/>
          </w:tcPr>
          <w:p>
            <w:r>
              <w:rPr/>
              <w:t>▲</w:t>
            </w:r>
          </w:p>
        </w:tc>
        <w:tc>
          <w:tcPr>
            <w:tcW w:type="dxa" w:w="415"/>
          </w:tcPr>
          <w:p>
            <w:r>
              <w:rPr/>
              <w:t>2</w:t>
            </w:r>
          </w:p>
        </w:tc>
        <w:tc>
          <w:tcPr>
            <w:tcW w:type="dxa" w:w="5814"/>
          </w:tcPr>
          <w:p>
            <w:pPr>
              <w:jc w:val="both"/>
            </w:pPr>
            <w:r>
              <w:rPr>
                <w:b/>
                <w:sz w:val="21"/>
              </w:rPr>
              <w:t>二、服务方式</w:t>
            </w:r>
          </w:p>
          <w:p>
            <w:r>
              <w:rPr>
                <w:sz w:val="21"/>
              </w:rPr>
              <w:t>以服务对象家庭为核心，由康复服务专业人员为服务对象提供上门或部分时间集中的康复训练和康复护理等综合康复服务。根据服务对象实际情况开展针对性的康复服务。</w:t>
            </w:r>
          </w:p>
        </w:tc>
      </w:tr>
      <w:tr>
        <w:tc>
          <w:tcPr>
            <w:tcW w:type="dxa" w:w="2076"/>
          </w:tcPr>
          <w:p/>
        </w:tc>
        <w:tc>
          <w:tcPr>
            <w:tcW w:type="dxa" w:w="415"/>
          </w:tcPr>
          <w:p>
            <w:r>
              <w:rPr/>
              <w:t>3</w:t>
            </w:r>
          </w:p>
        </w:tc>
        <w:tc>
          <w:tcPr>
            <w:tcW w:type="dxa" w:w="5814"/>
          </w:tcPr>
          <w:p>
            <w:pPr>
              <w:jc w:val="left"/>
            </w:pPr>
            <w:r>
              <w:rPr>
                <w:b/>
                <w:sz w:val="21"/>
              </w:rPr>
              <w:t>三、服务对象及人数</w:t>
            </w:r>
          </w:p>
          <w:p>
            <w:pPr>
              <w:ind w:firstLine="420"/>
              <w:jc w:val="left"/>
            </w:pPr>
            <w:r>
              <w:rPr>
                <w:sz w:val="21"/>
              </w:rPr>
              <w:t>符合《佛山市禅城区人民政府残疾人工作委员会关于印发禅城区残疾人康复救助服务相关实施细则的通知》</w:t>
            </w:r>
            <w:r>
              <w:rPr>
                <w:sz w:val="21"/>
              </w:rPr>
              <w:t>(禅残工委〔2022〕3号 )中的肢体残疾人，服务人数约为334人，以采购人或佛山市禅城区残疾人联合会最终审核确认为准。</w:t>
            </w:r>
            <w:r>
              <w:rPr>
                <w:sz w:val="21"/>
              </w:rPr>
              <w:t>佛山市</w:t>
            </w:r>
            <w:r>
              <w:rPr>
                <w:sz w:val="21"/>
              </w:rPr>
              <w:t>禅城区</w:t>
            </w:r>
            <w:r>
              <w:rPr>
                <w:sz w:val="21"/>
              </w:rPr>
              <w:t>各镇街服务人数分布情况如下：</w:t>
            </w:r>
          </w:p>
          <w:tbl>
            <w:tblPr>
              <w:tblInd w:type="dxa" w:w="135"/>
              <w:tblBorders>
                <w:top w:val="none" w:color="000000" w:sz="4"/>
                <w:left w:val="none" w:color="000000" w:sz="4"/>
                <w:bottom w:val="none" w:color="000000" w:sz="4"/>
                <w:right w:val="none" w:color="000000" w:sz="4"/>
                <w:insideH w:val="none"/>
                <w:insideV w:val="none"/>
              </w:tblBorders>
            </w:tblPr>
            <w:tblGrid>
              <w:gridCol w:w="1008"/>
              <w:gridCol w:w="1463"/>
              <w:gridCol w:w="1529"/>
              <w:gridCol w:w="1574"/>
            </w:tblGrid>
            <w:tr>
              <w:tc>
                <w:tcPr>
                  <w:tcW w:type="dxa" w:w="1008"/>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1463"/>
                  <w:tcBorders>
                    <w:top w:val="single" w:color="000000" w:sz="4"/>
                    <w:left w:val="single" w:color="000000" w:sz="4"/>
                    <w:bottom w:val="single" w:color="000000" w:sz="4"/>
                    <w:right w:val="single" w:color="000000" w:sz="4"/>
                  </w:tcBorders>
                  <w:vAlign w:val="top"/>
                </w:tcPr>
                <w:p>
                  <w:pPr>
                    <w:jc w:val="center"/>
                  </w:pPr>
                  <w:r>
                    <w:rPr>
                      <w:b/>
                      <w:sz w:val="21"/>
                    </w:rPr>
                    <w:t>原服务人数（人）</w:t>
                  </w:r>
                </w:p>
              </w:tc>
              <w:tc>
                <w:tcPr>
                  <w:tcW w:type="dxa" w:w="1529"/>
                  <w:tcBorders>
                    <w:top w:val="single" w:color="000000" w:sz="4"/>
                    <w:left w:val="single" w:color="000000" w:sz="4"/>
                    <w:bottom w:val="single" w:color="000000" w:sz="4"/>
                    <w:right w:val="single" w:color="000000" w:sz="4"/>
                  </w:tcBorders>
                  <w:vAlign w:val="top"/>
                </w:tcPr>
                <w:p>
                  <w:pPr>
                    <w:jc w:val="center"/>
                  </w:pPr>
                  <w:r>
                    <w:rPr>
                      <w:b/>
                      <w:sz w:val="21"/>
                    </w:rPr>
                    <w:t>预计新增</w:t>
                  </w:r>
                </w:p>
                <w:p>
                  <w:pPr>
                    <w:jc w:val="center"/>
                  </w:pPr>
                  <w:r>
                    <w:rPr>
                      <w:b/>
                      <w:sz w:val="21"/>
                    </w:rPr>
                    <w:t>服务人数（人）</w:t>
                  </w:r>
                </w:p>
              </w:tc>
              <w:tc>
                <w:tcPr>
                  <w:tcW w:type="dxa" w:w="1574"/>
                  <w:tcBorders>
                    <w:top w:val="single" w:color="000000" w:sz="4"/>
                    <w:left w:val="single" w:color="000000" w:sz="4"/>
                    <w:bottom w:val="single" w:color="000000" w:sz="4"/>
                    <w:right w:val="single" w:color="000000" w:sz="4"/>
                  </w:tcBorders>
                  <w:vAlign w:val="top"/>
                </w:tcPr>
                <w:p>
                  <w:pPr>
                    <w:jc w:val="center"/>
                  </w:pPr>
                  <w:r>
                    <w:rPr>
                      <w:b/>
                      <w:sz w:val="21"/>
                    </w:rPr>
                    <w:t>预计总服务人数（人）</w:t>
                  </w:r>
                </w:p>
              </w:tc>
            </w:tr>
            <w:tr>
              <w:tc>
                <w:tcPr>
                  <w:tcW w:type="dxa" w:w="1008"/>
                  <w:tcBorders>
                    <w:top w:val="none" w:color="000000" w:sz="4"/>
                    <w:left w:val="single" w:color="000000" w:sz="4"/>
                    <w:bottom w:val="single" w:color="000000" w:sz="4"/>
                    <w:right w:val="single" w:color="000000" w:sz="4"/>
                  </w:tcBorders>
                  <w:vAlign w:val="top"/>
                </w:tcPr>
                <w:p>
                  <w:pPr>
                    <w:jc w:val="center"/>
                  </w:pPr>
                  <w:r>
                    <w:rPr>
                      <w:sz w:val="21"/>
                    </w:rPr>
                    <w:t>祖庙街道</w:t>
                  </w:r>
                </w:p>
              </w:tc>
              <w:tc>
                <w:tcPr>
                  <w:tcW w:type="dxa" w:w="146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130</w:t>
                  </w:r>
                </w:p>
              </w:tc>
            </w:tr>
            <w:tr>
              <w:tc>
                <w:tcPr>
                  <w:tcW w:type="dxa" w:w="1008"/>
                  <w:tcBorders>
                    <w:top w:val="none" w:color="000000" w:sz="4"/>
                    <w:left w:val="single" w:color="000000" w:sz="4"/>
                    <w:bottom w:val="single" w:color="000000" w:sz="4"/>
                    <w:right w:val="single" w:color="000000" w:sz="4"/>
                  </w:tcBorders>
                  <w:vAlign w:val="top"/>
                </w:tcPr>
                <w:p>
                  <w:pPr>
                    <w:jc w:val="center"/>
                  </w:pPr>
                  <w:r>
                    <w:rPr>
                      <w:sz w:val="21"/>
                    </w:rPr>
                    <w:t>张槎街道</w:t>
                  </w:r>
                </w:p>
              </w:tc>
              <w:tc>
                <w:tcPr>
                  <w:tcW w:type="dxa" w:w="146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58</w:t>
                  </w:r>
                </w:p>
              </w:tc>
            </w:tr>
            <w:tr>
              <w:tc>
                <w:tcPr>
                  <w:tcW w:type="dxa" w:w="1008"/>
                  <w:tcBorders>
                    <w:top w:val="none" w:color="000000" w:sz="4"/>
                    <w:left w:val="single" w:color="000000" w:sz="4"/>
                    <w:bottom w:val="single" w:color="000000" w:sz="4"/>
                    <w:right w:val="single" w:color="000000" w:sz="4"/>
                  </w:tcBorders>
                  <w:vAlign w:val="top"/>
                </w:tcPr>
                <w:p>
                  <w:pPr>
                    <w:jc w:val="center"/>
                  </w:pPr>
                  <w:r>
                    <w:rPr>
                      <w:sz w:val="21"/>
                    </w:rPr>
                    <w:t>石湾镇街道</w:t>
                  </w:r>
                </w:p>
              </w:tc>
              <w:tc>
                <w:tcPr>
                  <w:tcW w:type="dxa" w:w="146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138</w:t>
                  </w:r>
                </w:p>
              </w:tc>
            </w:tr>
            <w:tr>
              <w:tc>
                <w:tcPr>
                  <w:tcW w:type="dxa" w:w="1008"/>
                  <w:tcBorders>
                    <w:top w:val="none" w:color="000000" w:sz="4"/>
                    <w:left w:val="single" w:color="000000" w:sz="4"/>
                    <w:bottom w:val="single" w:color="000000" w:sz="4"/>
                    <w:right w:val="single" w:color="000000" w:sz="4"/>
                  </w:tcBorders>
                  <w:vAlign w:val="top"/>
                </w:tcPr>
                <w:p>
                  <w:pPr>
                    <w:jc w:val="center"/>
                  </w:pPr>
                  <w:r>
                    <w:rPr>
                      <w:sz w:val="21"/>
                    </w:rPr>
                    <w:t>南庄镇</w:t>
                  </w:r>
                </w:p>
              </w:tc>
              <w:tc>
                <w:tcPr>
                  <w:tcW w:type="dxa" w:w="146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0</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1008"/>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463"/>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334</w:t>
                  </w:r>
                </w:p>
              </w:tc>
            </w:tr>
          </w:tbl>
        </w:tc>
      </w:tr>
      <w:tr>
        <w:tc>
          <w:tcPr>
            <w:tcW w:type="dxa" w:w="2076"/>
          </w:tcPr>
          <w:p>
            <w:r>
              <w:rPr/>
              <w:t>▲</w:t>
            </w:r>
          </w:p>
        </w:tc>
        <w:tc>
          <w:tcPr>
            <w:tcW w:type="dxa" w:w="415"/>
          </w:tcPr>
          <w:p>
            <w:r>
              <w:rPr/>
              <w:t>4</w:t>
            </w:r>
          </w:p>
        </w:tc>
        <w:tc>
          <w:tcPr>
            <w:tcW w:type="dxa" w:w="5814"/>
          </w:tcPr>
          <w:p>
            <w:pPr>
              <w:jc w:val="left"/>
            </w:pPr>
            <w:r>
              <w:rPr>
                <w:b/>
                <w:sz w:val="21"/>
              </w:rPr>
              <w:t>四、服务内容</w:t>
            </w:r>
          </w:p>
          <w:p>
            <w:pPr>
              <w:ind w:firstLine="420"/>
            </w:pPr>
            <w:r>
              <w:rPr>
                <w:sz w:val="21"/>
              </w:rPr>
              <w:t>1.康复训练：由具有相应专业资质的医生、治疗师上门为肢体残疾人提供康复训练，包括功能评估、运动治疗、作业治疗、语言治疗、心理治疗、物理治疗、生活能力训练和个别训练等，同时为服务对象的照顾者提供居家训练及支援，以加强他们照顾残疾人的能力，帮助他们克服日常家居生活中遇到的相关问题。</w:t>
            </w:r>
          </w:p>
          <w:p>
            <w:pPr>
              <w:ind w:firstLine="420"/>
            </w:pPr>
            <w:r>
              <w:rPr>
                <w:sz w:val="21"/>
              </w:rPr>
              <w:t>2.康复护理：由具有相应专业资质的护理人员上门为肢体残疾人提供翻身、饮食护理、洗漱护理及排泄护理等各项康复护理服务。</w:t>
            </w:r>
          </w:p>
          <w:p>
            <w:r>
              <w:rPr>
                <w:sz w:val="21"/>
              </w:rPr>
              <w:t>3.其他服务：①建立康复训练档案：为服务对象建立康复训练档案及健康档案，包括训练登记、训练评估、训练计划、训练记录、评估与总结和评估标准等内容，作为康复训练工作规范化的重要措施；②社区家庭康复指导：为康复训练对象及其监护人员提供康复咨询、康复训练的基本知识和技能培训，并做好服务对象后续跟踪和转介服务；③做好数据统计和分析，建立业务数据电子表格资料，对相关服务数据做好整理，并定期进行统计、分析；④为新一年度有居家康复服务需求的肢体残疾人进行前期评估。</w:t>
            </w:r>
          </w:p>
        </w:tc>
      </w:tr>
      <w:tr>
        <w:tc>
          <w:tcPr>
            <w:tcW w:type="dxa" w:w="2076"/>
          </w:tcPr>
          <w:p/>
        </w:tc>
        <w:tc>
          <w:tcPr>
            <w:tcW w:type="dxa" w:w="415"/>
          </w:tcPr>
          <w:p>
            <w:r>
              <w:rPr/>
              <w:t>5</w:t>
            </w:r>
          </w:p>
        </w:tc>
        <w:tc>
          <w:tcPr>
            <w:tcW w:type="dxa" w:w="5814"/>
          </w:tcPr>
          <w:p>
            <w:r>
              <w:rPr>
                <w:b/>
                <w:sz w:val="21"/>
              </w:rPr>
              <w:t>五、人员配备要求</w:t>
            </w:r>
          </w:p>
          <w:p>
            <w:r>
              <w:rPr>
                <w:sz w:val="21"/>
              </w:rPr>
              <w:t>1.</w:t>
            </w:r>
            <w:r>
              <w:rPr>
                <w:sz w:val="21"/>
              </w:rPr>
              <w:t>中标人需根据服务对象的人数及服务时长数，配备</w:t>
            </w:r>
            <w:r>
              <w:rPr>
                <w:sz w:val="21"/>
              </w:rPr>
              <w:t>15</w:t>
            </w:r>
            <w:r>
              <w:rPr>
                <w:sz w:val="21"/>
              </w:rPr>
              <w:t>人的工作人员（含康复医生、治疗师和护士）。其中</w:t>
            </w:r>
            <w:r>
              <w:rPr>
                <w:sz w:val="21"/>
              </w:rPr>
              <w:t>有</w:t>
            </w:r>
            <w:r>
              <w:rPr>
                <w:sz w:val="21"/>
              </w:rPr>
              <w:t>1</w:t>
            </w:r>
            <w:r>
              <w:rPr>
                <w:sz w:val="21"/>
              </w:rPr>
              <w:t>名康复医生，需持有执业证书；治疗师和护士均需持有执业证书。</w:t>
            </w:r>
            <w:r>
              <w:rPr>
                <w:sz w:val="21"/>
              </w:rPr>
              <w:t>采购人有权根据实际情况要求中标人</w:t>
            </w:r>
            <w:r>
              <w:rPr>
                <w:sz w:val="21"/>
              </w:rPr>
              <w:t>增加服务</w:t>
            </w:r>
            <w:r>
              <w:rPr>
                <w:sz w:val="21"/>
              </w:rPr>
              <w:t>人员</w:t>
            </w:r>
            <w:r>
              <w:rPr>
                <w:sz w:val="21"/>
              </w:rPr>
              <w:t>。</w:t>
            </w:r>
          </w:p>
          <w:p>
            <w:r>
              <w:rPr>
                <w:sz w:val="21"/>
              </w:rPr>
              <w:t>2.投标人须保证项目实施过程中的人员与投标文件内拟投入的人员一致。在项目实施过程中，拟投入的人员不可变更，如因特殊情况，如人员离职等确需变更的，须提前15天向佛山市禅城区残疾人联合会提交书面申请，经佛山市禅城区残疾人联合会书面同意后方可变更且变更人员资质须等于或高于原人员资质。如在项目实施过程中中标人投标文件内拟投入的人员不能满足实际要求的，中标人应无条件及时补充具有相应资质的人员。项目实施过程中，如总服务人数与招标文件内预计人数有较大变化的，经佛山市禅城区残疾人联合会同意后，中标人可根据总服务人数调整专业康复服务人员数量，但应保证在项目实施过程中配备的专业康复服务人员配比总服务人数比例不低于5%。</w:t>
            </w:r>
          </w:p>
        </w:tc>
      </w:tr>
      <w:tr>
        <w:tc>
          <w:tcPr>
            <w:tcW w:type="dxa" w:w="2076"/>
          </w:tcPr>
          <w:p>
            <w:r>
              <w:rPr/>
              <w:t>▲</w:t>
            </w:r>
          </w:p>
        </w:tc>
        <w:tc>
          <w:tcPr>
            <w:tcW w:type="dxa" w:w="415"/>
          </w:tcPr>
          <w:p>
            <w:r>
              <w:rPr/>
              <w:t>6</w:t>
            </w:r>
          </w:p>
        </w:tc>
        <w:tc>
          <w:tcPr>
            <w:tcW w:type="dxa" w:w="5814"/>
          </w:tcPr>
          <w:p>
            <w:pPr>
              <w:jc w:val="both"/>
            </w:pPr>
            <w:r>
              <w:rPr>
                <w:b/>
                <w:sz w:val="21"/>
              </w:rPr>
              <w:t>六、考核评估</w:t>
            </w:r>
          </w:p>
          <w:p>
            <w:pPr>
              <w:ind w:firstLine="420"/>
              <w:jc w:val="both"/>
            </w:pPr>
            <w:r>
              <w:rPr>
                <w:sz w:val="21"/>
              </w:rPr>
              <w:t>为保证服务质量，采购人或</w:t>
            </w:r>
            <w:r>
              <w:rPr>
                <w:sz w:val="21"/>
              </w:rPr>
              <w:t>佛山市禅城区</w:t>
            </w:r>
            <w:r>
              <w:rPr>
                <w:sz w:val="21"/>
              </w:rPr>
              <w:t>残疾人联合会</w:t>
            </w:r>
            <w:r>
              <w:rPr>
                <w:sz w:val="21"/>
              </w:rPr>
              <w:t>聘请第三方评估机构对中标机构每季度进行一次考核，每次考核</w:t>
            </w:r>
            <w:r>
              <w:rPr>
                <w:sz w:val="21"/>
              </w:rPr>
              <w:t>100分为满分，85分为合格，不满85分为不合格，以85分为界，每低1分扣发当季度1%服务费，连续两个（或以上）季度不合格的，采购人或佛山市禅城区残疾人联合会有权解除合同。考核表内容如下：</w:t>
            </w:r>
          </w:p>
          <w:tbl>
            <w:tblPr>
              <w:tblBorders>
                <w:top w:val="none" w:color="000000" w:sz="4"/>
                <w:left w:val="none" w:color="000000" w:sz="4"/>
                <w:bottom w:val="none" w:color="000000" w:sz="4"/>
                <w:right w:val="none" w:color="000000" w:sz="4"/>
                <w:insideH w:val="none"/>
                <w:insideV w:val="none"/>
              </w:tblBorders>
            </w:tblPr>
            <w:tblGrid>
              <w:gridCol w:w="405"/>
              <w:gridCol w:w="525"/>
              <w:gridCol w:w="1884"/>
              <w:gridCol w:w="2377"/>
              <w:gridCol w:w="383"/>
            </w:tblGrid>
            <w:tr>
              <w:tc>
                <w:tcPr>
                  <w:tcW w:type="dxa" w:w="405"/>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525"/>
                  <w:tcBorders>
                    <w:top w:val="single" w:color="000000" w:sz="4"/>
                    <w:left w:val="single" w:color="000000" w:sz="4"/>
                    <w:bottom w:val="single" w:color="000000" w:sz="4"/>
                    <w:right w:val="single" w:color="000000" w:sz="4"/>
                  </w:tcBorders>
                  <w:vAlign w:val="top"/>
                </w:tcPr>
                <w:p>
                  <w:pPr>
                    <w:jc w:val="center"/>
                  </w:pPr>
                  <w:r>
                    <w:rPr>
                      <w:b/>
                      <w:sz w:val="18"/>
                    </w:rPr>
                    <w:t>评审</w:t>
                  </w:r>
                </w:p>
              </w:tc>
              <w:tc>
                <w:tcPr>
                  <w:tcW w:type="dxa" w:w="1884"/>
                  <w:tcBorders>
                    <w:top w:val="single" w:color="000000" w:sz="4"/>
                    <w:left w:val="single" w:color="000000" w:sz="4"/>
                    <w:bottom w:val="single" w:color="000000" w:sz="4"/>
                    <w:right w:val="single" w:color="000000" w:sz="4"/>
                  </w:tcBorders>
                  <w:vAlign w:val="top"/>
                </w:tcPr>
                <w:p>
                  <w:pPr>
                    <w:jc w:val="center"/>
                  </w:pPr>
                  <w:r>
                    <w:rPr>
                      <w:b/>
                      <w:sz w:val="18"/>
                    </w:rPr>
                    <w:t>评审内容</w:t>
                  </w:r>
                </w:p>
              </w:tc>
              <w:tc>
                <w:tcPr>
                  <w:tcW w:type="dxa" w:w="2377"/>
                  <w:tcBorders>
                    <w:top w:val="single" w:color="000000" w:sz="4"/>
                    <w:left w:val="single" w:color="000000" w:sz="4"/>
                    <w:bottom w:val="single" w:color="000000" w:sz="4"/>
                    <w:right w:val="single" w:color="000000" w:sz="4"/>
                  </w:tcBorders>
                  <w:vAlign w:val="top"/>
                </w:tcPr>
                <w:p>
                  <w:pPr>
                    <w:jc w:val="center"/>
                  </w:pPr>
                  <w:r>
                    <w:rPr>
                      <w:b/>
                      <w:sz w:val="18"/>
                    </w:rPr>
                    <w:t>操作办法</w:t>
                  </w:r>
                </w:p>
              </w:tc>
              <w:tc>
                <w:tcPr>
                  <w:tcW w:type="dxa" w:w="383"/>
                  <w:tcBorders>
                    <w:top w:val="single" w:color="000000" w:sz="4"/>
                    <w:left w:val="single" w:color="000000" w:sz="4"/>
                    <w:bottom w:val="single" w:color="000000" w:sz="4"/>
                    <w:right w:val="single" w:color="000000" w:sz="4"/>
                  </w:tcBorders>
                  <w:vAlign w:val="top"/>
                </w:tcPr>
                <w:p>
                  <w:pPr>
                    <w:jc w:val="center"/>
                  </w:pPr>
                  <w:r>
                    <w:rPr>
                      <w:b/>
                      <w:sz w:val="18"/>
                    </w:rPr>
                    <w:t>分值</w:t>
                  </w:r>
                </w:p>
              </w:tc>
            </w:tr>
            <w:tr>
              <w:tc>
                <w:tcPr>
                  <w:tcW w:type="dxa" w:w="405"/>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525"/>
                  <w:vMerge w:val="restart"/>
                  <w:tcBorders>
                    <w:top w:val="none" w:color="000000" w:sz="4"/>
                    <w:left w:val="single" w:color="000000" w:sz="4"/>
                    <w:bottom w:val="single" w:color="000000" w:sz="4"/>
                    <w:right w:val="single" w:color="000000" w:sz="4"/>
                  </w:tcBorders>
                  <w:vAlign w:val="top"/>
                </w:tcPr>
                <w:p>
                  <w:pPr>
                    <w:jc w:val="left"/>
                  </w:pPr>
                  <w:r>
                    <w:rPr>
                      <w:sz w:val="18"/>
                    </w:rPr>
                    <w:t>人员管理</w:t>
                  </w:r>
                </w:p>
                <w:p>
                  <w:pPr>
                    <w:jc w:val="left"/>
                  </w:pPr>
                  <w:r>
                    <w:rPr>
                      <w:sz w:val="18"/>
                    </w:rPr>
                    <w:t>（</w:t>
                  </w:r>
                  <w:r>
                    <w:rPr>
                      <w:sz w:val="18"/>
                    </w:rPr>
                    <w:t>15分）</w:t>
                  </w:r>
                </w:p>
              </w:tc>
              <w:tc>
                <w:tcPr>
                  <w:tcW w:type="dxa" w:w="1884"/>
                  <w:tcBorders>
                    <w:top w:val="none" w:color="000000" w:sz="4"/>
                    <w:left w:val="single" w:color="000000" w:sz="4"/>
                    <w:bottom w:val="single" w:color="000000" w:sz="4"/>
                    <w:right w:val="single" w:color="000000" w:sz="4"/>
                  </w:tcBorders>
                  <w:vAlign w:val="top"/>
                </w:tcPr>
                <w:p>
                  <w:pPr>
                    <w:jc w:val="left"/>
                  </w:pPr>
                  <w:r>
                    <w:rPr>
                      <w:sz w:val="18"/>
                    </w:rPr>
                    <w:t>项目人员需持相关专业的资质证书上岗，且人数保持充足，以确保康复服务正常运作；项目人员发生调整时需至少提前</w:t>
                  </w:r>
                  <w:r>
                    <w:rPr>
                      <w:sz w:val="18"/>
                    </w:rPr>
                    <w:t>15天以书面形式通知区佛山市禅城区残疾人联合会。</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资料分析：服务合同、项目人员花名册、项目人员调整明细表、劳动合同、工资发放表、社保记录、资质证书、康复服务记录等。</w:t>
                  </w:r>
                </w:p>
                <w:p>
                  <w:pPr>
                    <w:jc w:val="left"/>
                  </w:pPr>
                  <w:r>
                    <w:rPr>
                      <w:b/>
                      <w:sz w:val="18"/>
                    </w:rPr>
                    <w:t>按要求提供以上佐证材料，每缺一项材料，或者提供的资料不符合规定，扣</w:t>
                  </w:r>
                  <w:r>
                    <w:rPr>
                      <w:b/>
                      <w:sz w:val="18"/>
                    </w:rPr>
                    <w:t>1分；缺乏四项或以上的材料，本条不得分。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项目团队组织结构健全，分工明细，调配合理，岗位职责明确。</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资料分析：岗位职责说明等。</w:t>
                  </w:r>
                </w:p>
                <w:p>
                  <w:pPr>
                    <w:jc w:val="left"/>
                  </w:pPr>
                  <w:r>
                    <w:rPr>
                      <w:b/>
                      <w:sz w:val="18"/>
                    </w:rPr>
                    <w:t>项目团队有设立专职管理人员、组织结构健全，得</w:t>
                  </w:r>
                  <w:r>
                    <w:rPr>
                      <w:b/>
                      <w:sz w:val="18"/>
                    </w:rPr>
                    <w:t>1.5分；有明确的人员架构和岗位职责说明，得1.5分。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对项目人员在岗业务培训学习每月不少于</w:t>
                  </w:r>
                  <w:r>
                    <w:rPr>
                      <w:sz w:val="18"/>
                    </w:rPr>
                    <w:t>1次。培训内容需与项目工作内容匹配、结合项目实际情况，可适当融入党建工作、残联政策等内容。</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资料分析：学习培训制度、培训内容记录、项目情况相关资料等。</w:t>
                  </w:r>
                </w:p>
                <w:p>
                  <w:pPr>
                    <w:jc w:val="left"/>
                  </w:pPr>
                  <w:r>
                    <w:rPr>
                      <w:b/>
                      <w:sz w:val="18"/>
                    </w:rPr>
                    <w:t>具有针对本项目的学习培训制度，得</w:t>
                  </w:r>
                  <w:r>
                    <w:rPr>
                      <w:b/>
                      <w:sz w:val="18"/>
                    </w:rPr>
                    <w:t>1分；具有完整的培训内容记录，得3分。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525"/>
                  <w:tcBorders>
                    <w:top w:val="none" w:color="000000" w:sz="4"/>
                    <w:left w:val="single" w:color="000000" w:sz="4"/>
                    <w:bottom w:val="single" w:color="000000" w:sz="4"/>
                    <w:right w:val="single" w:color="000000" w:sz="4"/>
                  </w:tcBorders>
                  <w:vAlign w:val="top"/>
                </w:tcPr>
                <w:p>
                  <w:pPr>
                    <w:jc w:val="left"/>
                  </w:pPr>
                  <w:r>
                    <w:rPr>
                      <w:sz w:val="18"/>
                    </w:rPr>
                    <w:t>制度管理</w:t>
                  </w:r>
                </w:p>
                <w:p>
                  <w:pPr>
                    <w:jc w:val="left"/>
                  </w:pPr>
                  <w:r>
                    <w:rPr>
                      <w:sz w:val="18"/>
                    </w:rPr>
                    <w:t>（</w:t>
                  </w:r>
                  <w:r>
                    <w:rPr>
                      <w:sz w:val="18"/>
                    </w:rPr>
                    <w:t>5分）</w:t>
                  </w:r>
                </w:p>
              </w:tc>
              <w:tc>
                <w:tcPr>
                  <w:tcW w:type="dxa" w:w="1884"/>
                  <w:tcBorders>
                    <w:top w:val="none" w:color="000000" w:sz="4"/>
                    <w:left w:val="single" w:color="000000" w:sz="4"/>
                    <w:bottom w:val="single" w:color="000000" w:sz="4"/>
                    <w:right w:val="single" w:color="000000" w:sz="4"/>
                  </w:tcBorders>
                  <w:vAlign w:val="top"/>
                </w:tcPr>
                <w:p>
                  <w:pPr>
                    <w:jc w:val="left"/>
                  </w:pPr>
                  <w:r>
                    <w:rPr>
                      <w:sz w:val="18"/>
                    </w:rPr>
                    <w:t>建立和健全服务质量管理制度、人员问责和奖惩制度、项目应急预案、项目结算资料管理监督机制、残疾人功能恢复评定机制、康复训练常规和技术操作流程、服务对象权益保障制度等，并落实执行。</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资料分析：服务质量管理制度、问责奖惩制度、项目风险评估报告，项目风险应急预案、残疾人功能恢复评定机制、康复训练常规和技术操作流程、服务对象权益保障制度等；</w:t>
                  </w:r>
                  <w:r>
                    <w:br/>
                  </w:r>
                  <w:r>
                    <w:rPr>
                      <w:sz w:val="18"/>
                    </w:rPr>
                    <w:t>个别访谈：员工、服务对象。</w:t>
                  </w:r>
                </w:p>
                <w:p>
                  <w:pPr>
                    <w:jc w:val="left"/>
                  </w:pPr>
                  <w:r>
                    <w:rPr>
                      <w:b/>
                      <w:sz w:val="18"/>
                    </w:rPr>
                    <w:t>按要求提供相应的制度文本、资料，并了解各项制度落实执行情况，视执行情况酌情评分。</w:t>
                  </w:r>
                </w:p>
                <w:p>
                  <w:pPr>
                    <w:jc w:val="left"/>
                  </w:pPr>
                  <w:r>
                    <w:rPr>
                      <w:b/>
                      <w:sz w:val="18"/>
                    </w:rPr>
                    <w:t>每缺一项材料，或者提供的资料不符合项目规定，扣</w:t>
                  </w:r>
                  <w:r>
                    <w:rPr>
                      <w:b/>
                      <w:sz w:val="18"/>
                    </w:rPr>
                    <w:t>1分；缺乏四项或以上的材料，本条不得分。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5</w:t>
                  </w:r>
                </w:p>
              </w:tc>
            </w:tr>
            <w:tr>
              <w:tc>
                <w:tcPr>
                  <w:tcW w:type="dxa" w:w="405"/>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525"/>
                  <w:vMerge w:val="restart"/>
                  <w:tcBorders>
                    <w:top w:val="none" w:color="000000" w:sz="4"/>
                    <w:left w:val="single" w:color="000000" w:sz="4"/>
                    <w:bottom w:val="single" w:color="000000" w:sz="4"/>
                    <w:right w:val="single" w:color="000000" w:sz="4"/>
                  </w:tcBorders>
                  <w:vAlign w:val="top"/>
                </w:tcPr>
                <w:p>
                  <w:pPr>
                    <w:jc w:val="left"/>
                  </w:pPr>
                  <w:r>
                    <w:rPr>
                      <w:sz w:val="18"/>
                    </w:rPr>
                    <w:t>服务管理</w:t>
                  </w:r>
                </w:p>
                <w:p>
                  <w:pPr>
                    <w:jc w:val="left"/>
                  </w:pPr>
                  <w:r>
                    <w:rPr>
                      <w:sz w:val="18"/>
                    </w:rPr>
                    <w:t>（</w:t>
                  </w:r>
                  <w:r>
                    <w:rPr>
                      <w:sz w:val="18"/>
                    </w:rPr>
                    <w:t>30分）</w:t>
                  </w:r>
                </w:p>
              </w:tc>
              <w:tc>
                <w:tcPr>
                  <w:tcW w:type="dxa" w:w="1884"/>
                  <w:tcBorders>
                    <w:top w:val="none" w:color="000000" w:sz="4"/>
                    <w:left w:val="single" w:color="000000" w:sz="4"/>
                    <w:bottom w:val="single" w:color="000000" w:sz="4"/>
                    <w:right w:val="single" w:color="000000" w:sz="4"/>
                  </w:tcBorders>
                  <w:vAlign w:val="top"/>
                </w:tcPr>
                <w:p>
                  <w:pPr>
                    <w:jc w:val="left"/>
                  </w:pPr>
                  <w:r>
                    <w:rPr>
                      <w:sz w:val="18"/>
                    </w:rPr>
                    <w:t>按照服务质量管理制度，项目团队关于优化项目管理的交流会议每月不少于一次，相关内容及时与购买方沟通。</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资料分析：服务质量管理制度、沟通会议记录、后续执行等相关痕迹资料；</w:t>
                  </w:r>
                </w:p>
                <w:p>
                  <w:pPr>
                    <w:jc w:val="left"/>
                  </w:pPr>
                  <w:r>
                    <w:rPr>
                      <w:sz w:val="18"/>
                    </w:rPr>
                    <w:t>个别访谈</w:t>
                  </w:r>
                  <w:r>
                    <w:rPr>
                      <w:sz w:val="18"/>
                    </w:rPr>
                    <w:t>:工作人员。</w:t>
                  </w:r>
                </w:p>
                <w:p>
                  <w:pPr>
                    <w:jc w:val="left"/>
                  </w:pPr>
                  <w:r>
                    <w:rPr>
                      <w:b/>
                      <w:sz w:val="18"/>
                    </w:rPr>
                    <w:t>建立服务质量管理制度并有相关的制度执行记录，每月开展不少于一次的交流会议，并有完整的沟通会议记录，得</w:t>
                  </w:r>
                  <w:r>
                    <w:rPr>
                      <w:b/>
                      <w:sz w:val="18"/>
                    </w:rPr>
                    <w:t>2分；有相关的后续跟进记录，得2分。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服务套表的记录内容必须做到严谨规范、原始真实、全面清晰，不得随意涂改，团队内部设立专人管理、监督，根据项目情况的变化持续更新、及时纠正。</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资料查阅：服务对象花名册、功能恢复评定记录、康复训练档案、康复服务记录表、服务情况统计表等。</w:t>
                  </w:r>
                </w:p>
                <w:p>
                  <w:pPr>
                    <w:jc w:val="left"/>
                  </w:pPr>
                  <w:r>
                    <w:rPr>
                      <w:b/>
                      <w:sz w:val="18"/>
                    </w:rPr>
                    <w:t>按要求提供相关的服务材料，缺一项扣</w:t>
                  </w:r>
                  <w:r>
                    <w:rPr>
                      <w:b/>
                      <w:sz w:val="18"/>
                    </w:rPr>
                    <w:t>1分；如出现分类不清晰，归档不及时或服务数据呈现不清晰，服务档案不完整、涂改等，酌情扣分；康复服务记录表、服务情况统计表如有造假，本条不得分。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康复训练设施、设备、包括康复评估设备和康复训练器材齐全，并能根据需求维护或更新。</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资料查阅、现场查阅、工作人员访谈。</w:t>
                  </w:r>
                </w:p>
                <w:p>
                  <w:pPr>
                    <w:jc w:val="left"/>
                  </w:pPr>
                  <w:r>
                    <w:rPr>
                      <w:b/>
                      <w:sz w:val="18"/>
                    </w:rPr>
                    <w:t>设备齐全，得</w:t>
                  </w:r>
                  <w:r>
                    <w:rPr>
                      <w:b/>
                      <w:sz w:val="18"/>
                    </w:rPr>
                    <w:t>1.5分；有相应的维护或更新记录，得1.5分。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按照项目评估时限提交相关服务资料，项目评估结果以及实际服务情况统计表作为结算依据（服务资料不得造假，如发现造假，将一次性扣除</w:t>
                  </w:r>
                  <w:r>
                    <w:rPr>
                      <w:sz w:val="18"/>
                    </w:rPr>
                    <w:t>15分。）</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资料分析：康复服务记录表、服务情况统计表等。</w:t>
                  </w:r>
                </w:p>
                <w:p>
                  <w:pPr>
                    <w:jc w:val="left"/>
                  </w:pPr>
                  <w:r>
                    <w:rPr>
                      <w:b/>
                      <w:sz w:val="18"/>
                    </w:rPr>
                    <w:t>未按要求提供真实有效的服务资料或发现资料造假，本条不得分。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15</w:t>
                  </w:r>
                </w:p>
              </w:tc>
            </w:tr>
            <w:tr>
              <w:tc>
                <w:tcPr>
                  <w:tcW w:type="dxa" w:w="405"/>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525"/>
                  <w:vMerge w:val="restart"/>
                  <w:tcBorders>
                    <w:top w:val="none" w:color="000000" w:sz="4"/>
                    <w:left w:val="single" w:color="000000" w:sz="4"/>
                    <w:bottom w:val="single" w:color="000000" w:sz="4"/>
                    <w:right w:val="single" w:color="000000" w:sz="4"/>
                  </w:tcBorders>
                  <w:vAlign w:val="top"/>
                </w:tcPr>
                <w:p>
                  <w:pPr>
                    <w:jc w:val="left"/>
                  </w:pPr>
                  <w:r>
                    <w:rPr>
                      <w:sz w:val="18"/>
                    </w:rPr>
                    <w:t>服务执行</w:t>
                  </w:r>
                </w:p>
                <w:p>
                  <w:pPr>
                    <w:jc w:val="left"/>
                  </w:pPr>
                  <w:r>
                    <w:rPr>
                      <w:sz w:val="18"/>
                    </w:rPr>
                    <w:t>（</w:t>
                  </w:r>
                  <w:r>
                    <w:rPr>
                      <w:sz w:val="18"/>
                    </w:rPr>
                    <w:t>25分）</w:t>
                  </w:r>
                </w:p>
              </w:tc>
              <w:tc>
                <w:tcPr>
                  <w:tcW w:type="dxa" w:w="1884"/>
                  <w:tcBorders>
                    <w:top w:val="none" w:color="000000" w:sz="4"/>
                    <w:left w:val="single" w:color="000000" w:sz="4"/>
                    <w:bottom w:val="single" w:color="000000" w:sz="4"/>
                    <w:right w:val="single" w:color="000000" w:sz="4"/>
                  </w:tcBorders>
                  <w:vAlign w:val="top"/>
                </w:tcPr>
                <w:p>
                  <w:pPr>
                    <w:jc w:val="left"/>
                  </w:pPr>
                  <w:r>
                    <w:rPr>
                      <w:sz w:val="18"/>
                    </w:rPr>
                    <w:t>项目人员按照康复训练常规和技术操作流程规范操作。</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资料查阅：康复训练常规和技术操作流程、抽查服务资料记录对应操作流程的规范性。</w:t>
                  </w:r>
                </w:p>
                <w:p>
                  <w:pPr>
                    <w:jc w:val="left"/>
                  </w:pPr>
                  <w:r>
                    <w:rPr>
                      <w:b/>
                      <w:sz w:val="18"/>
                    </w:rPr>
                    <w:t>按操作规范程度酌情评分。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每季度对服务对象的康复效果进行评估，并形成完整的评估分析记录及统计分析报告，对康复服务进行分层分类，按需求制定适合服务对象的康复训练计划。</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资料查阅：康复服务评估档案，评估分析记录、统计分析报告、服务对象康复训练计划；</w:t>
                  </w:r>
                </w:p>
                <w:p>
                  <w:pPr>
                    <w:jc w:val="left"/>
                  </w:pPr>
                  <w:r>
                    <w:rPr>
                      <w:sz w:val="18"/>
                    </w:rPr>
                    <w:t>服务对象访谈：康复训练计划的适切性。</w:t>
                  </w:r>
                </w:p>
                <w:p>
                  <w:pPr>
                    <w:jc w:val="left"/>
                  </w:pPr>
                  <w:r>
                    <w:rPr>
                      <w:b/>
                      <w:sz w:val="18"/>
                    </w:rPr>
                    <w:t>根据访谈和资料分析酌情评分。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根据中标时的服务实施方案，落实相关服务内容和要求。</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资料查阅、服务对象或家属访谈。</w:t>
                  </w:r>
                </w:p>
                <w:p>
                  <w:pPr>
                    <w:jc w:val="left"/>
                  </w:pPr>
                  <w:r>
                    <w:rPr>
                      <w:b/>
                      <w:sz w:val="18"/>
                    </w:rPr>
                    <w:t>根据访谈和资料分析酌情评分。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根据合同规定，每月进行康复训练、康复护理服务不少于</w:t>
                  </w:r>
                  <w:r>
                    <w:rPr>
                      <w:sz w:val="18"/>
                    </w:rPr>
                    <w:t>6次，每次不少于1小时。</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资料查阅：康复训练档案、康复服务记录表、服务情况统计表；</w:t>
                  </w:r>
                </w:p>
                <w:p>
                  <w:pPr>
                    <w:jc w:val="left"/>
                  </w:pPr>
                  <w:r>
                    <w:rPr>
                      <w:sz w:val="18"/>
                    </w:rPr>
                    <w:t>服务对象访谈：康复训练的内容、次数。</w:t>
                  </w:r>
                </w:p>
                <w:p>
                  <w:pPr>
                    <w:jc w:val="left"/>
                  </w:pPr>
                  <w:r>
                    <w:rPr>
                      <w:b/>
                      <w:sz w:val="18"/>
                    </w:rPr>
                    <w:t>根据访谈和资料分析，综合评分。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康复知识普及，每季度不少于</w:t>
                  </w:r>
                  <w:r>
                    <w:rPr>
                      <w:sz w:val="18"/>
                    </w:rPr>
                    <w:t>1次。</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资料查阅：康复训练档案等服务资料；</w:t>
                  </w:r>
                </w:p>
                <w:p>
                  <w:pPr>
                    <w:jc w:val="left"/>
                  </w:pPr>
                  <w:r>
                    <w:rPr>
                      <w:sz w:val="18"/>
                    </w:rPr>
                    <w:t>服务对象家属访谈：康复知识普及的内容、频率。</w:t>
                  </w:r>
                </w:p>
                <w:p>
                  <w:pPr>
                    <w:jc w:val="left"/>
                  </w:pPr>
                  <w:r>
                    <w:rPr>
                      <w:b/>
                      <w:sz w:val="18"/>
                    </w:rPr>
                    <w:t>根据康复训练资料和访谈的匹配度，综合评分。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405"/>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525"/>
                  <w:vMerge w:val="restart"/>
                  <w:tcBorders>
                    <w:top w:val="none" w:color="000000" w:sz="4"/>
                    <w:left w:val="single" w:color="000000" w:sz="4"/>
                    <w:bottom w:val="single" w:color="000000" w:sz="4"/>
                    <w:right w:val="single" w:color="000000" w:sz="4"/>
                  </w:tcBorders>
                  <w:vAlign w:val="top"/>
                </w:tcPr>
                <w:p>
                  <w:pPr>
                    <w:jc w:val="left"/>
                  </w:pPr>
                  <w:r>
                    <w:rPr>
                      <w:sz w:val="18"/>
                    </w:rPr>
                    <w:t>服务成效</w:t>
                  </w:r>
                </w:p>
                <w:p>
                  <w:pPr>
                    <w:jc w:val="left"/>
                  </w:pPr>
                  <w:r>
                    <w:rPr>
                      <w:sz w:val="18"/>
                    </w:rPr>
                    <w:t>（</w:t>
                  </w:r>
                  <w:r>
                    <w:rPr>
                      <w:sz w:val="18"/>
                    </w:rPr>
                    <w:t>25</w:t>
                  </w:r>
                  <w:r>
                    <w:rPr>
                      <w:sz w:val="18"/>
                    </w:rPr>
                    <w:t>分</w:t>
                  </w:r>
                  <w:r>
                    <w:rPr>
                      <w:sz w:val="18"/>
                    </w:rPr>
                    <w:t>）</w:t>
                  </w:r>
                </w:p>
              </w:tc>
              <w:tc>
                <w:tcPr>
                  <w:tcW w:type="dxa" w:w="1884"/>
                  <w:tcBorders>
                    <w:top w:val="none" w:color="000000" w:sz="4"/>
                    <w:left w:val="single" w:color="000000" w:sz="4"/>
                    <w:bottom w:val="single" w:color="000000" w:sz="4"/>
                    <w:right w:val="single" w:color="000000" w:sz="4"/>
                  </w:tcBorders>
                  <w:vAlign w:val="top"/>
                </w:tcPr>
                <w:p>
                  <w:pPr>
                    <w:jc w:val="left"/>
                  </w:pPr>
                  <w:r>
                    <w:rPr>
                      <w:sz w:val="18"/>
                    </w:rPr>
                    <w:t>每季度不少于一篇关于居家康复的事迹报道或典型案例。</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资料查阅：相关报道资料等。</w:t>
                  </w:r>
                </w:p>
                <w:p>
                  <w:pPr>
                    <w:jc w:val="left"/>
                  </w:pPr>
                  <w:r>
                    <w:rPr>
                      <w:b/>
                      <w:sz w:val="18"/>
                    </w:rPr>
                    <w:t>有相关报道或案例资料，得</w:t>
                  </w:r>
                  <w:r>
                    <w:rPr>
                      <w:b/>
                      <w:sz w:val="18"/>
                    </w:rPr>
                    <w:t>2分；内容真实具有代表性，得2分。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服务成效统计：服务对象的残疾程度、日常生活自理能力、并发症等发生与消除的统计，数据对比，原因分析。</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资料查阅：相关统计资料，康复训练档案等，服务对象访谈。</w:t>
                  </w:r>
                </w:p>
                <w:p>
                  <w:pPr>
                    <w:jc w:val="left"/>
                  </w:pPr>
                  <w:r>
                    <w:rPr>
                      <w:b/>
                      <w:sz w:val="18"/>
                    </w:rPr>
                    <w:t>根据访谈和资料分析，综合评分。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6</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对服务对象维持或改善情况的持续性关注及评估，相应调整康复训练计划并落实。</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资料查阅：康复服务评估档案、康复训练档案；</w:t>
                  </w:r>
                  <w:r>
                    <w:br/>
                  </w:r>
                  <w:r>
                    <w:rPr>
                      <w:sz w:val="18"/>
                    </w:rPr>
                    <w:t>服务对象访谈。</w:t>
                  </w:r>
                </w:p>
                <w:p>
                  <w:pPr>
                    <w:jc w:val="left"/>
                  </w:pPr>
                  <w:r>
                    <w:rPr>
                      <w:b/>
                      <w:sz w:val="18"/>
                    </w:rPr>
                    <w:t>根据访谈和资料分析，综合评分。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关注社会影响力的塑造，如链接多方资源，帮助推动更多社会参与或加强社会影响力。</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资料查阅：项目宣传资料等。</w:t>
                  </w:r>
                </w:p>
                <w:p>
                  <w:pPr>
                    <w:jc w:val="left"/>
                  </w:pPr>
                  <w:r>
                    <w:rPr>
                      <w:b/>
                      <w:sz w:val="18"/>
                    </w:rPr>
                    <w:t>根据相应的项目宣传材料，资源链接汇总表，新闻报道等材料，酌情评分。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405"/>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1884"/>
                  <w:tcBorders>
                    <w:top w:val="none" w:color="000000" w:sz="4"/>
                    <w:left w:val="single" w:color="000000" w:sz="4"/>
                    <w:bottom w:val="single" w:color="000000" w:sz="4"/>
                    <w:right w:val="single" w:color="000000" w:sz="4"/>
                  </w:tcBorders>
                  <w:vAlign w:val="top"/>
                </w:tcPr>
                <w:p>
                  <w:pPr>
                    <w:jc w:val="left"/>
                  </w:pPr>
                  <w:r>
                    <w:rPr>
                      <w:sz w:val="18"/>
                    </w:rPr>
                    <w:t>抽查服务对象电访康复服务情况，了解康复机构是否做足服务次数和时数，是否有康复指引和存在意见。</w:t>
                  </w:r>
                </w:p>
              </w:tc>
              <w:tc>
                <w:tcPr>
                  <w:tcW w:type="dxa" w:w="2377"/>
                  <w:tcBorders>
                    <w:top w:val="none" w:color="000000" w:sz="4"/>
                    <w:left w:val="single" w:color="000000" w:sz="4"/>
                    <w:bottom w:val="single" w:color="000000" w:sz="4"/>
                    <w:right w:val="single" w:color="000000" w:sz="4"/>
                  </w:tcBorders>
                  <w:vAlign w:val="top"/>
                </w:tcPr>
                <w:p>
                  <w:pPr>
                    <w:jc w:val="left"/>
                  </w:pPr>
                  <w:r>
                    <w:rPr>
                      <w:sz w:val="18"/>
                    </w:rPr>
                    <w:t>资料查阅：服务对象访谈（每次评估抽取</w:t>
                  </w:r>
                  <w:r>
                    <w:rPr>
                      <w:sz w:val="18"/>
                    </w:rPr>
                    <w:t>20%的服务对象，不重复抽取）。</w:t>
                  </w:r>
                </w:p>
                <w:p>
                  <w:pPr>
                    <w:jc w:val="left"/>
                  </w:pPr>
                  <w:r>
                    <w:rPr>
                      <w:b/>
                      <w:sz w:val="18"/>
                    </w:rPr>
                    <w:t>根据访谈结果酌情评分。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5191"/>
                  <w:gridSpan w:val="4"/>
                  <w:tcBorders>
                    <w:top w:val="none" w:color="000000" w:sz="4"/>
                    <w:left w:val="single" w:color="000000" w:sz="4"/>
                    <w:bottom w:val="single" w:color="000000" w:sz="4"/>
                    <w:right w:val="single" w:color="000000" w:sz="4"/>
                  </w:tcBorders>
                  <w:vAlign w:val="top"/>
                </w:tcPr>
                <w:p>
                  <w:pPr>
                    <w:jc w:val="center"/>
                  </w:pPr>
                  <w:r>
                    <w:rPr>
                      <w:sz w:val="18"/>
                    </w:rPr>
                    <w:t>总得分</w:t>
                  </w:r>
                </w:p>
              </w:tc>
              <w:tc>
                <w:tcPr>
                  <w:tcW w:type="dxa" w:w="383"/>
                  <w:tcBorders>
                    <w:top w:val="none" w:color="000000" w:sz="4"/>
                    <w:left w:val="single" w:color="000000" w:sz="4"/>
                    <w:bottom w:val="single" w:color="000000" w:sz="4"/>
                    <w:right w:val="single" w:color="000000" w:sz="4"/>
                  </w:tcBorders>
                  <w:vAlign w:val="top"/>
                </w:tcPr>
                <w:p>
                  <w:pPr>
                    <w:jc w:val="center"/>
                  </w:pPr>
                  <w:r>
                    <w:rPr>
                      <w:sz w:val="18"/>
                    </w:rPr>
                    <w:t>100</w:t>
                  </w:r>
                </w:p>
              </w:tc>
            </w:tr>
          </w:tbl>
          <w:p/>
          <w:p>
            <w:r>
              <w:rPr>
                <w:sz w:val="21"/>
              </w:rPr>
              <w:t>注：上述考评项目和内容采购人可根据实际情况适当调整。</w:t>
            </w:r>
          </w:p>
          <w:p>
            <w:pPr>
              <w:jc w:val="left"/>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佛山市禅城区民政局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服务费参照国家计委[计价格1、[2002]1980号文《招标代理服务收费管理暂行办法》及国家发改委[2003]857号及发改价格[2011]534号文件中规定的“服务类”计费标准计费，以预算金额作为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1，如招标公告与招标文件同一内容描述不一致的，以招标文件为准。</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4，本招标文件内要求的扫描件或复印件，可以是原件的扫描件，也可以是复印件的扫描件。扫描件性质上可视为复印件。</w:t>
            </w:r>
          </w:p>
          <w:p>
            <w:pPr>
              <w:jc w:val="left"/>
            </w:pPr>
            <w:r>
              <w:rPr/>
              <w:t>5，因电子标系统相对固化，招标文件内有关专门面向中小企业采购情况描述不一致的，应以招标文件第一章《投标邀请》“二.投标人的资格要求”中“2.落实政府采购政策需满足的资格要求”的各采购包中小微企业面向情况为准。</w:t>
            </w:r>
          </w:p>
          <w:p>
            <w:pPr>
              <w:jc w:val="left"/>
            </w:pPr>
            <w:r>
              <w:rPr/>
              <w:t>6，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禅城区肢体残疾人居家康复服务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采购包1（禅城区肢体残疾人居家康复服务采购）：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特定资格</w:t>
            </w:r>
          </w:p>
        </w:tc>
        <w:tc>
          <w:tcPr>
            <w:tcW w:type="dxa" w:w="4238"/>
          </w:tcPr>
          <w:p>
            <w:r>
              <w:rPr/>
              <w:t>投标人须具有有效期内的《医疗机构执业许可证》（提供证书扫描件）。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投标报价未超过最高单价限价。</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报价得分15.0分</w:t>
            </w:r>
          </w:p>
        </w:tc>
      </w:tr>
      <w:tr>
        <w:tc>
          <w:tcPr>
            <w:tcW w:type="dxa" w:w="922"/>
            <w:gridSpan w:val="2"/>
            <w:vMerge w:val="restart"/>
          </w:tcPr>
          <w:p>
            <w:pPr>
              <w:jc w:val="center"/>
            </w:pPr>
            <w:r>
              <w:rPr/>
              <w:t>技术部分</w:t>
            </w:r>
          </w:p>
        </w:tc>
        <w:tc>
          <w:tcPr>
            <w:tcW w:type="dxa" w:w="2307"/>
          </w:tcPr>
          <w:p>
            <w:pPr>
              <w:jc w:val="left"/>
            </w:pPr>
            <w:r>
              <w:rPr/>
              <w:t>服务响应 (9.0分)</w:t>
            </w:r>
          </w:p>
        </w:tc>
        <w:tc>
          <w:tcPr>
            <w:tcW w:type="dxa" w:w="5076"/>
          </w:tcPr>
          <w:p>
            <w:pPr>
              <w:jc w:val="left"/>
            </w:pPr>
            <w:r>
              <w:rPr/>
              <w:t>根招标文件《第二章 采购需求》“技术标准与要求”中的指标响应程度进行评分：带“▲”参数：无偏离或正偏离的,每满足一项得3分，本小项最高得9分；以投标人的响应情况进行评审，未响应的，不得分。</w:t>
            </w:r>
          </w:p>
        </w:tc>
      </w:tr>
      <w:tr>
        <w:tc>
          <w:tcPr>
            <w:tcW w:type="dxa" w:w="922"/>
            <w:gridSpan w:val="2"/>
            <w:vMerge/>
          </w:tcPr>
          <w:p/>
        </w:tc>
        <w:tc>
          <w:tcPr>
            <w:tcW w:type="dxa" w:w="2307"/>
          </w:tcPr>
          <w:p>
            <w:pPr>
              <w:jc w:val="left"/>
            </w:pPr>
            <w:r>
              <w:rPr/>
              <w:t>服务实施方案 (11.0分)</w:t>
            </w:r>
            <w:r>
              <w:rPr/>
              <w:t>，（等次分值选择：</w:t>
            </w:r>
            <w:r>
              <w:rPr/>
              <w:t>0.0;</w:t>
            </w:r>
            <w:r>
              <w:rPr/>
              <w:t>1.0;</w:t>
            </w:r>
            <w:r>
              <w:rPr/>
              <w:t>4.0;</w:t>
            </w:r>
            <w:r>
              <w:rPr/>
              <w:t>8.0;</w:t>
            </w:r>
            <w:r>
              <w:rPr/>
              <w:t>11.0;</w:t>
            </w:r>
            <w:r>
              <w:rPr/>
              <w:t>）</w:t>
            </w:r>
          </w:p>
        </w:tc>
        <w:tc>
          <w:tcPr>
            <w:tcW w:type="dxa" w:w="5076"/>
          </w:tcPr>
          <w:p>
            <w:pPr>
              <w:jc w:val="left"/>
            </w:pPr>
            <w:r>
              <w:rPr/>
              <w:t>根据各投标人提供的肢体残疾人居家康复服务实施方案（须包含总体工作计划、阶段性工作计划、实施办法和执行措施），是否详细全面具体、合理可行、实施办法和具体执行措施是否具有可操作性、是否能便捷及时有效的提供专业服务等方面进行评审： 1.服务实施方案全面、具体、合理，可操作性强、能在30分名内响应并及时有效的提供专业服务，得11分； 2.服务实施方案较全面、具体、合理，可操作性较强、能在30分钟内响应，基本能提供较专业服务，得8分； 3.服务实施方案基本合理但不全面，可操作性不高，得4分； 4.服务实施方案不合理，没有可操作性、不能满足服务要求，得1分； 5.不提供方案不得分。</w:t>
            </w:r>
          </w:p>
        </w:tc>
      </w:tr>
      <w:tr>
        <w:tc>
          <w:tcPr>
            <w:tcW w:type="dxa" w:w="922"/>
            <w:gridSpan w:val="2"/>
            <w:vMerge/>
          </w:tcPr>
          <w:p/>
        </w:tc>
        <w:tc>
          <w:tcPr>
            <w:tcW w:type="dxa" w:w="2307"/>
          </w:tcPr>
          <w:p>
            <w:pPr>
              <w:jc w:val="left"/>
            </w:pPr>
            <w:r>
              <w:rPr/>
              <w:t>服务质量控制方案 (10.0分)</w:t>
            </w:r>
            <w:r>
              <w:rPr/>
              <w:t>，（等次分值选择：</w:t>
            </w:r>
            <w:r>
              <w:rPr/>
              <w:t>0.0;</w:t>
            </w:r>
            <w:r>
              <w:rPr/>
              <w:t>1.0;</w:t>
            </w:r>
            <w:r>
              <w:rPr/>
              <w:t>4.0;</w:t>
            </w:r>
            <w:r>
              <w:rPr/>
              <w:t>7.0;</w:t>
            </w:r>
            <w:r>
              <w:rPr/>
              <w:t>10.0;</w:t>
            </w:r>
            <w:r>
              <w:rPr/>
              <w:t>）</w:t>
            </w:r>
          </w:p>
        </w:tc>
        <w:tc>
          <w:tcPr>
            <w:tcW w:type="dxa" w:w="5076"/>
          </w:tcPr>
          <w:p>
            <w:pPr>
              <w:jc w:val="left"/>
            </w:pPr>
            <w:r>
              <w:rPr/>
              <w:t>根据各投标人提供的服务质量控制方案（包括服务质量及效率的控制措施、服务承诺及质量跟踪措施）等进行评审： 1.服务质量控制方案包含了服务质量及效率的控制措施、服务承诺及质量跟踪措施，全面、具体、合理，具有可操作性，得10分； 2.服务质量控制方案基本包含了服务质量及效率的控制措施、服务承诺及质量跟踪措施，合理但不全面，具有一定可操作性，得7分； 3.服务质量控制方案未完全包含服务质量及效率的控制措施、服务承诺及质量跟踪措施，整体方案不够合理，操作性不强,得4分； 4.服务质量控制方案不齐全，不合理，没有可操作性，得1分； 5.不提供方案不得分。</w:t>
            </w:r>
          </w:p>
        </w:tc>
      </w:tr>
      <w:tr>
        <w:tc>
          <w:tcPr>
            <w:tcW w:type="dxa" w:w="922"/>
            <w:gridSpan w:val="2"/>
            <w:vMerge/>
          </w:tcPr>
          <w:p/>
        </w:tc>
        <w:tc>
          <w:tcPr>
            <w:tcW w:type="dxa" w:w="2307"/>
          </w:tcPr>
          <w:p>
            <w:pPr>
              <w:jc w:val="left"/>
            </w:pPr>
            <w:r>
              <w:rPr/>
              <w:t>工作重点、难点分析及解决措施 (10.0分)</w:t>
            </w:r>
            <w:r>
              <w:rPr/>
              <w:t>，（等次分值选择：</w:t>
            </w:r>
            <w:r>
              <w:rPr/>
              <w:t>0.0;</w:t>
            </w:r>
            <w:r>
              <w:rPr/>
              <w:t>1.0;</w:t>
            </w:r>
            <w:r>
              <w:rPr/>
              <w:t>4.0;</w:t>
            </w:r>
            <w:r>
              <w:rPr/>
              <w:t>7.0;</w:t>
            </w:r>
            <w:r>
              <w:rPr/>
              <w:t>10.0;</w:t>
            </w:r>
            <w:r>
              <w:rPr/>
              <w:t>）</w:t>
            </w:r>
          </w:p>
        </w:tc>
        <w:tc>
          <w:tcPr>
            <w:tcW w:type="dxa" w:w="5076"/>
          </w:tcPr>
          <w:p>
            <w:pPr>
              <w:jc w:val="left"/>
            </w:pPr>
            <w:r>
              <w:rPr/>
              <w:t>根据各投标人对肢体残疾人居家康复工作重点、难点分析及解决措施等进行评审： 1.工作重点、难点分析及解决措施全面、具体、合理，提出了合理化建议方案，实施措施切实可行，得10分； 2.重点、难点分析比较合理，能提出较合理化建议方案，实施措施有一定可行性，得7分； 3.重点、难点分析基本合理，合理化建议方案简单，实施措施可行，得4分； 4.重点、难点分析不够合理，合理化建议方案及实施措施不合理，得1分； 5.不提供方案不得分。</w:t>
            </w:r>
          </w:p>
        </w:tc>
      </w:tr>
      <w:tr>
        <w:tc>
          <w:tcPr>
            <w:tcW w:type="dxa" w:w="922"/>
            <w:gridSpan w:val="2"/>
            <w:vMerge/>
          </w:tcPr>
          <w:p/>
        </w:tc>
        <w:tc>
          <w:tcPr>
            <w:tcW w:type="dxa" w:w="2307"/>
          </w:tcPr>
          <w:p>
            <w:pPr>
              <w:jc w:val="left"/>
            </w:pPr>
            <w:r>
              <w:rPr/>
              <w:t>项目保障机制 (10.0分)</w:t>
            </w:r>
            <w:r>
              <w:rPr/>
              <w:t>，（等次分值选择：</w:t>
            </w:r>
            <w:r>
              <w:rPr/>
              <w:t>0.0;</w:t>
            </w:r>
            <w:r>
              <w:rPr/>
              <w:t>1.0;</w:t>
            </w:r>
            <w:r>
              <w:rPr/>
              <w:t>4.0;</w:t>
            </w:r>
            <w:r>
              <w:rPr/>
              <w:t>7.0;</w:t>
            </w:r>
            <w:r>
              <w:rPr/>
              <w:t>10.0;</w:t>
            </w:r>
            <w:r>
              <w:rPr/>
              <w:t>）</w:t>
            </w:r>
          </w:p>
        </w:tc>
        <w:tc>
          <w:tcPr>
            <w:tcW w:type="dxa" w:w="5076"/>
          </w:tcPr>
          <w:p>
            <w:pPr>
              <w:jc w:val="left"/>
            </w:pPr>
            <w:r>
              <w:rPr/>
              <w:t>根据各投标人为项目顺利实施及服务质量保证提供相关的资源支撑和机制保障措施进行评价： 1.资源支撑和机制保障措施全面、具体、合理，可操作性强，得10分； 2.资源支撑和机制保障措施基本合理，可操作性较强，得7分； 3.资源支撑和机制保障措施不够合理，可操作性不强，得4分； 4.资源支撑和机制保障措施不合理，可操作性差，得1分； 5.其他情况不得分。</w:t>
            </w:r>
          </w:p>
        </w:tc>
      </w:tr>
      <w:tr>
        <w:tc>
          <w:tcPr>
            <w:tcW w:type="dxa" w:w="922"/>
            <w:gridSpan w:val="2"/>
            <w:vMerge/>
          </w:tcPr>
          <w:p/>
        </w:tc>
        <w:tc>
          <w:tcPr>
            <w:tcW w:type="dxa" w:w="2307"/>
          </w:tcPr>
          <w:p>
            <w:pPr>
              <w:jc w:val="left"/>
            </w:pPr>
            <w:r>
              <w:rPr/>
              <w:t>管理规章制度 (10.0分)</w:t>
            </w:r>
            <w:r>
              <w:rPr/>
              <w:t>，（等次分值选择：</w:t>
            </w:r>
            <w:r>
              <w:rPr/>
              <w:t>0.0;</w:t>
            </w:r>
            <w:r>
              <w:rPr/>
              <w:t>1.0;</w:t>
            </w:r>
            <w:r>
              <w:rPr/>
              <w:t>4.0;</w:t>
            </w:r>
            <w:r>
              <w:rPr/>
              <w:t>7.0;</w:t>
            </w:r>
            <w:r>
              <w:rPr/>
              <w:t>10.0;</w:t>
            </w:r>
            <w:r>
              <w:rPr/>
              <w:t>）</w:t>
            </w:r>
          </w:p>
        </w:tc>
        <w:tc>
          <w:tcPr>
            <w:tcW w:type="dxa" w:w="5076"/>
          </w:tcPr>
          <w:p>
            <w:pPr>
              <w:jc w:val="left"/>
            </w:pPr>
            <w:r>
              <w:rPr/>
              <w:t>根据各投标人提供规章管理制度完善情况、制度落实能力、可行性、科学性进行评审： 1.规章管理制度非常完善、可落实情况高、可行性高，得10分；  2.规章管理制度完善、可落实情况较高、可行性较高，得7分；  3.规章管理制度基本较完善、可落实、可行性不足，得4分； 4.规章管理制度不够完善、可落实、可行性较差，得1分； 5.不提供方案不得分。</w:t>
            </w:r>
          </w:p>
        </w:tc>
      </w:tr>
      <w:tr>
        <w:tc>
          <w:tcPr>
            <w:tcW w:type="dxa" w:w="922"/>
            <w:gridSpan w:val="2"/>
            <w:vMerge w:val="restart"/>
          </w:tcPr>
          <w:p>
            <w:pPr>
              <w:jc w:val="center"/>
            </w:pPr>
            <w:r>
              <w:rPr/>
              <w:t>商务部分</w:t>
            </w:r>
          </w:p>
        </w:tc>
        <w:tc>
          <w:tcPr>
            <w:tcW w:type="dxa" w:w="2307"/>
          </w:tcPr>
          <w:p>
            <w:pPr>
              <w:jc w:val="left"/>
            </w:pPr>
            <w:r>
              <w:rPr/>
              <w:t>项目业绩 (5.0分)</w:t>
            </w:r>
          </w:p>
        </w:tc>
        <w:tc>
          <w:tcPr>
            <w:tcW w:type="dxa" w:w="5076"/>
          </w:tcPr>
          <w:p>
            <w:pPr>
              <w:jc w:val="left"/>
            </w:pPr>
            <w:r>
              <w:rPr/>
              <w:t>投标人承接过同类项目业绩的，得5分。  注：须提供合同扫描件作为证明材料，不提供不得分。为方便评审，建议将业绩主要信息进行标注。</w:t>
            </w:r>
          </w:p>
        </w:tc>
      </w:tr>
      <w:tr>
        <w:tc>
          <w:tcPr>
            <w:tcW w:type="dxa" w:w="922"/>
            <w:gridSpan w:val="2"/>
            <w:vMerge/>
          </w:tcPr>
          <w:p/>
        </w:tc>
        <w:tc>
          <w:tcPr>
            <w:tcW w:type="dxa" w:w="2307"/>
          </w:tcPr>
          <w:p>
            <w:pPr>
              <w:jc w:val="left"/>
            </w:pPr>
            <w:r>
              <w:rPr/>
              <w:t>拟投入本项目人员 (15.0分)</w:t>
            </w:r>
          </w:p>
        </w:tc>
        <w:tc>
          <w:tcPr>
            <w:tcW w:type="dxa" w:w="5076"/>
          </w:tcPr>
          <w:p>
            <w:pPr>
              <w:jc w:val="left"/>
            </w:pPr>
            <w:r>
              <w:rPr/>
              <w:t>1.投标人拟投入人员要求：配备专业康复服务人员不少于15人（不含管理人员与后勤人员）。其中至少有1名康复医生（中医专业、康复医学专业等康复相关专业），其余为治疗师和护士，均需持有有效的执业证书。满足以上要求得9分。 2.满足以上要求的前提下，每多提供一个康复医生（中医专业、康复医学专业等康复相关专业）得3分，最高得6分。 本项最高得15分 注：须提供相关人员证书扫描件、投标文件递交截止日前（含截止日当月）6个月内任意1个月在投标人单位购买社保的证明材料扫描件作为评审依据。不提供不得分。为方便评审，建议将人员社保信息进行标注。</w:t>
            </w:r>
          </w:p>
        </w:tc>
      </w:tr>
      <w:tr>
        <w:tc>
          <w:tcPr>
            <w:tcW w:type="dxa" w:w="922"/>
            <w:gridSpan w:val="2"/>
            <w:vMerge/>
          </w:tcPr>
          <w:p/>
        </w:tc>
        <w:tc>
          <w:tcPr>
            <w:tcW w:type="dxa" w:w="2307"/>
          </w:tcPr>
          <w:p>
            <w:pPr>
              <w:jc w:val="left"/>
            </w:pPr>
            <w:r>
              <w:rPr/>
              <w:t>企业荣誉 (5.0分)</w:t>
            </w:r>
          </w:p>
        </w:tc>
        <w:tc>
          <w:tcPr>
            <w:tcW w:type="dxa" w:w="5076"/>
          </w:tcPr>
          <w:p>
            <w:pPr>
              <w:jc w:val="left"/>
            </w:pPr>
            <w:r>
              <w:rPr/>
              <w:t>投标人获得过政府部门或协会颁发的奖项或荣誉，每提供一个得2.5分，最高得5分。 注：提供奖项、荣誉证书或牌匾扫描件，或正式文件或通知公告发布网站的网页截图作为评审依据，不提供不得分。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both"/>
            </w:pPr>
            <w:r>
              <w:rPr>
                <w:color w:val="000000"/>
                <w:sz w:val="28"/>
              </w:rPr>
              <w:t xml:space="preserve">  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ind w:firstLine="280"/>
              <w:jc w:val="left"/>
            </w:pPr>
            <w:r>
              <w:rPr>
                <w:color w:val="000000"/>
                <w:sz w:val="28"/>
                <w:u w:val="single"/>
              </w:rPr>
              <w:t>（</w:t>
            </w:r>
            <w:r>
              <w:rPr>
                <w:color w:val="000000"/>
                <w:sz w:val="28"/>
                <w:u w:val="single"/>
              </w:rPr>
              <w:t>服务管理</w:t>
            </w:r>
            <w:r>
              <w:rPr>
                <w:color w:val="000000"/>
                <w:sz w:val="28"/>
                <w:u w:val="single"/>
              </w:rPr>
              <w:t>单位</w:t>
            </w:r>
            <w:r>
              <w:rPr>
                <w:color w:val="000000"/>
                <w:sz w:val="28"/>
                <w:u w:val="single"/>
              </w:rPr>
              <w:t>）</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 xml:space="preserve"> 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sz w:val="21"/>
              </w:rPr>
              <w:t>丙</w:t>
            </w:r>
            <w:r>
              <w:rPr>
                <w:b/>
                <w:sz w:val="21"/>
              </w:rPr>
              <w:t xml:space="preserve">    </w:t>
            </w:r>
            <w:r>
              <w:rPr>
                <w:b/>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w:t>
            </w:r>
            <w:r>
              <w:rPr>
                <w:sz w:val="21"/>
                <w:u w:val="single"/>
              </w:rPr>
              <w:t>服务管理</w:t>
            </w:r>
            <w:r>
              <w:rPr>
                <w:color w:val="000000"/>
                <w:sz w:val="21"/>
                <w:u w:val="single"/>
              </w:rPr>
              <w:t>单位</w:t>
            </w:r>
            <w:r>
              <w:rPr>
                <w:color w:val="000000"/>
                <w:sz w:val="21"/>
                <w:u w:val="single"/>
              </w:rPr>
              <w:t>）</w:t>
            </w:r>
            <w:r>
              <w:rPr>
                <w:sz w:val="19"/>
                <w:u w:val="single"/>
              </w:rPr>
              <w:t xml:space="preserve">                                    </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《中华人民共和国民法典》和本项目采购文件的要求，</w:t>
      </w:r>
      <w:r>
        <w:rPr>
          <w:color w:val="000000"/>
          <w:sz w:val="21"/>
        </w:rPr>
        <w:t>经</w:t>
      </w:r>
      <w:r>
        <w:rPr>
          <w:color w:val="000000"/>
          <w:sz w:val="21"/>
        </w:rPr>
        <w:t>三</w:t>
      </w:r>
      <w:r>
        <w:rPr>
          <w:color w:val="000000"/>
          <w:sz w:val="21"/>
        </w:rPr>
        <w:t>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56"/>
        <w:gridCol w:w="1395"/>
        <w:gridCol w:w="6226"/>
      </w:tblGrid>
      <w:tr>
        <w:tc>
          <w:tcPr>
            <w:tcW w:type="dxa" w:w="65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95"/>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26"/>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合同金额</w:t>
            </w:r>
          </w:p>
        </w:tc>
        <w:tc>
          <w:tcPr>
            <w:tcW w:type="dxa" w:w="6226"/>
            <w:tcBorders>
              <w:top w:val="none" w:color="000000" w:sz="4"/>
              <w:left w:val="none" w:color="000000" w:sz="4"/>
              <w:bottom w:val="single" w:color="000000" w:sz="4"/>
              <w:right w:val="single" w:color="000000" w:sz="4"/>
            </w:tcBorders>
            <w:vAlign w:val="top"/>
          </w:tcPr>
          <w:p>
            <w:pPr>
              <w:jc w:val="both"/>
            </w:pPr>
            <w:r>
              <w:rPr>
                <w:color w:val="000000"/>
                <w:sz w:val="21"/>
              </w:rPr>
              <w:t>单价</w:t>
            </w:r>
            <w:r>
              <w:rPr>
                <w:color w:val="000000"/>
                <w:sz w:val="21"/>
              </w:rPr>
              <w:t>：</w:t>
            </w:r>
            <w:r>
              <w:rPr>
                <w:color w:val="000000"/>
                <w:sz w:val="21"/>
                <w:u w:val="single"/>
              </w:rPr>
              <w:t xml:space="preserve">           </w:t>
            </w:r>
          </w:p>
          <w:p>
            <w:pPr>
              <w:jc w:val="both"/>
            </w:pPr>
            <w:r>
              <w:rPr>
                <w:color w:val="000000"/>
                <w:sz w:val="21"/>
              </w:rPr>
              <w:t>人民币</w:t>
            </w:r>
            <w:r>
              <w:rPr>
                <w:color w:val="000000"/>
                <w:sz w:val="21"/>
              </w:rPr>
              <w:t>小写：</w:t>
            </w:r>
            <w:r>
              <w:rPr>
                <w:sz w:val="21"/>
                <w:u w:val="single"/>
              </w:rPr>
              <w:t xml:space="preserve">             </w:t>
            </w:r>
            <w:r>
              <w:rPr>
                <w:color w:val="000000"/>
                <w:sz w:val="21"/>
              </w:rPr>
              <w:t>元；</w:t>
            </w:r>
          </w:p>
          <w:p>
            <w:pPr>
              <w:jc w:val="both"/>
            </w:pPr>
            <w:r>
              <w:rPr>
                <w:color w:val="000000"/>
                <w:sz w:val="21"/>
              </w:rPr>
              <w:t>大写：</w:t>
            </w:r>
            <w:r>
              <w:rPr>
                <w:sz w:val="21"/>
                <w:u w:val="single"/>
              </w:rPr>
              <w:t xml:space="preserve">                          </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226"/>
            <w:tcBorders>
              <w:top w:val="none" w:color="000000" w:sz="4"/>
              <w:left w:val="non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）合同总额</w:t>
            </w:r>
            <w:r>
              <w:rPr>
                <w:sz w:val="21"/>
              </w:rPr>
              <w:t>包含但不限于以下费用：服务费、交通费、税金以及项目实施过程中其它应预见和不可预见费用等完成本采购项目、达到采购人目的一切费用。</w:t>
            </w:r>
          </w:p>
          <w:p>
            <w:pPr>
              <w:jc w:val="both"/>
            </w:pPr>
            <w:r>
              <w:rPr>
                <w:b/>
                <w:sz w:val="21"/>
              </w:rPr>
              <w:t>本项目年度最高结算金额不超过当年度总预算金额</w:t>
            </w:r>
            <w:r>
              <w:rPr>
                <w:b/>
                <w:sz w:val="21"/>
              </w:rPr>
              <w:t>即</w:t>
            </w:r>
            <w:r>
              <w:rPr>
                <w:b/>
                <w:sz w:val="21"/>
              </w:rPr>
              <w:t>2,404,800.00</w:t>
            </w:r>
            <w:r>
              <w:rPr>
                <w:b/>
                <w:sz w:val="21"/>
              </w:rPr>
              <w:t>元</w:t>
            </w:r>
            <w:r>
              <w:rPr>
                <w:b/>
                <w:sz w:val="21"/>
              </w:rPr>
              <w:t>。</w:t>
            </w:r>
          </w:p>
          <w:p>
            <w:pPr>
              <w:jc w:val="both"/>
            </w:pPr>
            <w:r>
              <w:rPr>
                <w:color w:val="000000"/>
                <w:sz w:val="21"/>
              </w:rPr>
              <w:t>（</w:t>
            </w:r>
            <w:r>
              <w:rPr>
                <w:color w:val="000000"/>
                <w:sz w:val="21"/>
              </w:rPr>
              <w:t>2</w:t>
            </w:r>
            <w:r>
              <w:rPr>
                <w:color w:val="000000"/>
                <w:sz w:val="21"/>
              </w:rPr>
              <w:t>）单价为固定不变价，天数为公历日。</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26"/>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sz w:val="21"/>
              </w:rPr>
              <w:t>佛山市禅城区</w:t>
            </w:r>
            <w:r>
              <w:rPr>
                <w:sz w:val="21"/>
              </w:rPr>
              <w:t>。</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26"/>
            <w:tcBorders>
              <w:top w:val="none" w:color="000000" w:sz="4"/>
              <w:left w:val="none" w:color="000000" w:sz="4"/>
              <w:bottom w:val="single" w:color="000000" w:sz="4"/>
              <w:right w:val="single" w:color="000000" w:sz="4"/>
            </w:tcBorders>
            <w:vAlign w:val="top"/>
          </w:tcPr>
          <w:p>
            <w:pPr>
              <w:jc w:val="left"/>
            </w:pPr>
            <w:r>
              <w:rPr>
                <w:sz w:val="21"/>
              </w:rPr>
              <w:t>服</w:t>
            </w:r>
            <w:r>
              <w:rPr>
                <w:sz w:val="21"/>
              </w:rPr>
              <w:t>务期为</w:t>
            </w:r>
            <w:r>
              <w:rPr>
                <w:sz w:val="21"/>
              </w:rPr>
              <w:t>三</w:t>
            </w:r>
            <w:r>
              <w:rPr>
                <w:sz w:val="21"/>
              </w:rPr>
              <w:t>年</w:t>
            </w:r>
            <w:r>
              <w:rPr>
                <w:sz w:val="21"/>
              </w:rPr>
              <w:t>，</w:t>
            </w:r>
            <w:r>
              <w:rPr>
                <w:sz w:val="21"/>
              </w:rPr>
              <w:t>自</w:t>
            </w:r>
            <w:r>
              <w:rPr>
                <w:sz w:val="21"/>
              </w:rPr>
              <w:t>2023年9月1日至2026年8月31日</w:t>
            </w:r>
            <w:r>
              <w:rPr>
                <w:sz w:val="21"/>
              </w:rPr>
              <w:t>。合同一年一签，第一年</w:t>
            </w:r>
            <w:r>
              <w:rPr>
                <w:sz w:val="21"/>
              </w:rPr>
              <w:t>（</w:t>
            </w:r>
            <w:r>
              <w:rPr>
                <w:sz w:val="21"/>
              </w:rPr>
              <w:t>2023年9月1日至2024年8月31日</w:t>
            </w:r>
            <w:r>
              <w:rPr>
                <w:sz w:val="21"/>
              </w:rPr>
              <w:t>）</w:t>
            </w:r>
            <w:r>
              <w:rPr>
                <w:sz w:val="21"/>
              </w:rPr>
              <w:t>合同履行完毕后，甲方根据资金落实情况与对乙方考核情况决定是否续签下一年合同。</w:t>
            </w:r>
          </w:p>
          <w:p>
            <w:pPr>
              <w:jc w:val="left"/>
            </w:pPr>
            <w:r>
              <w:rPr>
                <w:sz w:val="21"/>
              </w:rPr>
              <w:t>本次合同为第</w:t>
            </w:r>
            <w:r>
              <w:rPr>
                <w:sz w:val="19"/>
                <w:u w:val="single"/>
              </w:rPr>
              <w:t xml:space="preserve">    </w:t>
            </w:r>
            <w:r>
              <w:rPr>
                <w:sz w:val="21"/>
              </w:rPr>
              <w:t>年合同，服务期为</w:t>
            </w:r>
            <w:r>
              <w:rPr>
                <w:sz w:val="19"/>
                <w:u w:val="single"/>
              </w:rPr>
              <w:t xml:space="preserve">             </w:t>
            </w:r>
            <w:r>
              <w:rPr>
                <w:sz w:val="21"/>
              </w:rPr>
              <w:t>。</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226"/>
            <w:tcBorders>
              <w:top w:val="none" w:color="000000" w:sz="4"/>
              <w:left w:val="none" w:color="000000" w:sz="4"/>
              <w:bottom w:val="single" w:color="000000" w:sz="4"/>
              <w:right w:val="single" w:color="000000" w:sz="4"/>
            </w:tcBorders>
            <w:vAlign w:val="top"/>
          </w:tcPr>
          <w:p>
            <w:r>
              <w:rPr>
                <w:color w:val="000000"/>
                <w:sz w:val="21"/>
              </w:rPr>
              <w:t>按年</w:t>
            </w:r>
            <w:r>
              <w:rPr>
                <w:color w:val="000000"/>
                <w:sz w:val="21"/>
              </w:rPr>
              <w:t>签订本项目采购合同。</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226"/>
            <w:tcBorders>
              <w:top w:val="none" w:color="000000" w:sz="4"/>
              <w:left w:val="none" w:color="000000" w:sz="4"/>
              <w:bottom w:val="single" w:color="000000" w:sz="4"/>
              <w:right w:val="single" w:color="000000" w:sz="4"/>
            </w:tcBorders>
            <w:vAlign w:val="top"/>
          </w:tcPr>
          <w:p/>
          <w:p>
            <w:pPr>
              <w:ind w:firstLine="420"/>
            </w:pPr>
            <w:r>
              <w:rPr>
                <w:sz w:val="21"/>
              </w:rPr>
              <w:t>自合同生效之日起，每季度</w:t>
            </w:r>
            <w:r>
              <w:rPr>
                <w:sz w:val="21"/>
              </w:rPr>
              <w:t>甲方向乙方</w:t>
            </w:r>
            <w:r>
              <w:rPr>
                <w:sz w:val="21"/>
              </w:rPr>
              <w:t>结算一次，</w:t>
            </w:r>
            <w:r>
              <w:rPr>
                <w:sz w:val="21"/>
              </w:rPr>
              <w:t>在每季度结束后的次月进行结算，</w:t>
            </w:r>
            <w:r>
              <w:rPr>
                <w:sz w:val="21"/>
              </w:rPr>
              <w:t>乙方向</w:t>
            </w:r>
            <w:r>
              <w:rPr>
                <w:sz w:val="21"/>
              </w:rPr>
              <w:t>甲方或丙方</w:t>
            </w:r>
            <w:r>
              <w:rPr>
                <w:sz w:val="21"/>
              </w:rPr>
              <w:t>报送服务情况统计表，统计情况必须准确、真实、有效，最终以</w:t>
            </w:r>
            <w:r>
              <w:rPr>
                <w:sz w:val="21"/>
              </w:rPr>
              <w:t>甲方或丙方</w:t>
            </w:r>
            <w:r>
              <w:rPr>
                <w:sz w:val="21"/>
              </w:rPr>
              <w:t>审核为准。</w:t>
            </w:r>
            <w:r>
              <w:rPr>
                <w:sz w:val="21"/>
              </w:rPr>
              <w:t>结算的金额</w:t>
            </w:r>
            <w:r>
              <w:rPr>
                <w:sz w:val="21"/>
              </w:rPr>
              <w:t>=</w:t>
            </w:r>
            <w:r>
              <w:rPr>
                <w:sz w:val="21"/>
              </w:rPr>
              <w:t>合同单价</w:t>
            </w:r>
            <w:r>
              <w:rPr>
                <w:sz w:val="21"/>
              </w:rPr>
              <w:t>×</w:t>
            </w:r>
            <w:r>
              <w:rPr>
                <w:sz w:val="21"/>
              </w:rPr>
              <w:t>甲方</w:t>
            </w:r>
            <w:r>
              <w:rPr>
                <w:sz w:val="21"/>
              </w:rPr>
              <w:t>或丙方</w:t>
            </w:r>
            <w:r>
              <w:rPr>
                <w:sz w:val="21"/>
              </w:rPr>
              <w:t>审核确定的实际工作量</w:t>
            </w:r>
            <w:r>
              <w:rPr>
                <w:sz w:val="21"/>
              </w:rPr>
              <w:t>-考核应扣服务费（如有）</w:t>
            </w:r>
            <w:r>
              <w:rPr>
                <w:sz w:val="21"/>
              </w:rPr>
              <w:t>。</w:t>
            </w:r>
          </w:p>
          <w:p>
            <w:pPr>
              <w:ind w:firstLine="420"/>
            </w:pPr>
            <w:r>
              <w:rPr>
                <w:sz w:val="21"/>
              </w:rPr>
              <w:t>合同支付款项前，</w:t>
            </w:r>
            <w:r>
              <w:rPr>
                <w:sz w:val="21"/>
              </w:rPr>
              <w:t>乙方</w:t>
            </w:r>
            <w:r>
              <w:rPr>
                <w:sz w:val="21"/>
              </w:rPr>
              <w:t>必须先向</w:t>
            </w:r>
            <w:r>
              <w:rPr>
                <w:sz w:val="21"/>
              </w:rPr>
              <w:t>甲方</w:t>
            </w:r>
            <w:r>
              <w:rPr>
                <w:sz w:val="21"/>
              </w:rPr>
              <w:t>提供与支付金额相符的有效发票，且收款方、出具发票方、合同乙方均必须与</w:t>
            </w:r>
            <w:r>
              <w:rPr>
                <w:sz w:val="21"/>
              </w:rPr>
              <w:t>中标人</w:t>
            </w:r>
            <w:r>
              <w:rPr>
                <w:sz w:val="21"/>
              </w:rPr>
              <w:t>名称一致。</w:t>
            </w:r>
            <w:r>
              <w:rPr>
                <w:sz w:val="21"/>
              </w:rPr>
              <w:t>甲方</w:t>
            </w:r>
            <w:r>
              <w:rPr>
                <w:sz w:val="21"/>
              </w:rPr>
              <w:t>应当自收到发票后</w:t>
            </w:r>
            <w:r>
              <w:rPr>
                <w:sz w:val="21"/>
              </w:rPr>
              <w:t>10</w:t>
            </w:r>
            <w:r>
              <w:rPr>
                <w:sz w:val="21"/>
              </w:rPr>
              <w:t>日内将资金支付到</w:t>
            </w:r>
            <w:r>
              <w:rPr>
                <w:sz w:val="21"/>
              </w:rPr>
              <w:t>乙方</w:t>
            </w:r>
            <w:r>
              <w:rPr>
                <w:sz w:val="21"/>
              </w:rPr>
              <w:t>账户。</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395"/>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226"/>
            <w:tcBorders>
              <w:top w:val="none" w:color="000000" w:sz="4"/>
              <w:left w:val="none" w:color="000000" w:sz="4"/>
              <w:bottom w:val="single" w:color="000000" w:sz="4"/>
              <w:right w:val="single" w:color="000000" w:sz="4"/>
            </w:tcBorders>
            <w:vAlign w:val="top"/>
          </w:tcPr>
          <w:p>
            <w:r>
              <w:rPr>
                <w:sz w:val="21"/>
              </w:rPr>
              <w:t>1.乙方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开具的正式发票；</w:t>
            </w:r>
          </w:p>
          <w:p>
            <w:pPr>
              <w:ind w:firstLine="315"/>
            </w:pPr>
            <w:r>
              <w:rPr>
                <w:sz w:val="21"/>
              </w:rPr>
              <w:t>（</w:t>
            </w:r>
            <w:r>
              <w:rPr>
                <w:sz w:val="21"/>
              </w:rPr>
              <w:t>3</w:t>
            </w:r>
            <w:r>
              <w:rPr>
                <w:sz w:val="21"/>
              </w:rPr>
              <w:t>）</w:t>
            </w:r>
            <w:r>
              <w:rPr>
                <w:sz w:val="21"/>
              </w:rPr>
              <w:t>中标</w:t>
            </w:r>
            <w:r>
              <w:rPr>
                <w:sz w:val="21"/>
              </w:rPr>
              <w:t>通知书。</w:t>
            </w:r>
          </w:p>
          <w:p>
            <w:pPr>
              <w:ind w:firstLine="420"/>
              <w:jc w:val="left"/>
            </w:pPr>
            <w:r>
              <w:rPr>
                <w:sz w:val="21"/>
              </w:rPr>
              <w:t>乙方</w:t>
            </w:r>
            <w:r>
              <w:rPr>
                <w:sz w:val="21"/>
              </w:rPr>
              <w:t>收款时必须持有效发票与</w:t>
            </w:r>
            <w:r>
              <w:rPr>
                <w:sz w:val="21"/>
              </w:rPr>
              <w:t>甲方</w:t>
            </w:r>
            <w:r>
              <w:rPr>
                <w:sz w:val="21"/>
              </w:rPr>
              <w:t>结算。收款方、出具发票方、合同乙方均必须与</w:t>
            </w:r>
            <w:r>
              <w:rPr>
                <w:sz w:val="21"/>
              </w:rPr>
              <w:t>乙方</w:t>
            </w:r>
            <w:r>
              <w:rPr>
                <w:sz w:val="21"/>
              </w:rPr>
              <w:t>名称一致。</w:t>
            </w:r>
          </w:p>
        </w:tc>
      </w:tr>
      <w:tr>
        <w:tc>
          <w:tcPr>
            <w:tcW w:type="dxa" w:w="656"/>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395"/>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26"/>
            <w:tcBorders>
              <w:top w:val="none" w:color="000000" w:sz="4"/>
              <w:left w:val="none" w:color="000000" w:sz="4"/>
              <w:bottom w:val="single" w:color="000000" w:sz="4"/>
              <w:right w:val="single" w:color="000000" w:sz="4"/>
            </w:tcBorders>
            <w:vAlign w:val="top"/>
          </w:tcPr>
          <w:p>
            <w:r>
              <w:rPr>
                <w:sz w:val="21"/>
              </w:rPr>
              <w:t>不收取</w:t>
            </w:r>
          </w:p>
        </w:tc>
      </w:tr>
    </w:tbl>
    <w:p>
      <w:r>
        <w:rPr>
          <w:b/>
          <w:color w:val="000000"/>
          <w:sz w:val="21"/>
        </w:rPr>
        <w:t>二、乙方服务要求</w:t>
      </w:r>
    </w:p>
    <w:p>
      <w:r>
        <w:rPr>
          <w:b/>
          <w:color w:val="000000"/>
          <w:sz w:val="21"/>
        </w:rPr>
        <w:t>（一）</w:t>
      </w:r>
      <w:r>
        <w:rPr>
          <w:b/>
          <w:color w:val="000000"/>
          <w:sz w:val="21"/>
        </w:rPr>
        <w:t>服务目标</w:t>
      </w:r>
    </w:p>
    <w:p>
      <w:pPr>
        <w:ind w:firstLine="420"/>
        <w:jc w:val="both"/>
      </w:pPr>
      <w:r>
        <w:rPr>
          <w:sz w:val="21"/>
        </w:rPr>
        <w:t>在最佳康复期内，</w:t>
      </w:r>
      <w:r>
        <w:rPr>
          <w:sz w:val="21"/>
        </w:rPr>
        <w:t>帮助肢体残疾人防止并发症的发生和残疾程度加重，提高日常生活自理能力与就业能力，以达到功能重建，提高生活质量</w:t>
      </w:r>
      <w:r>
        <w:rPr>
          <w:sz w:val="21"/>
        </w:rPr>
        <w:t>、</w:t>
      </w:r>
      <w:r>
        <w:rPr>
          <w:sz w:val="21"/>
        </w:rPr>
        <w:t>融入社会的目的。</w:t>
      </w:r>
    </w:p>
    <w:p>
      <w:r>
        <w:rPr>
          <w:b/>
          <w:color w:val="000000"/>
          <w:sz w:val="21"/>
        </w:rPr>
        <w:t>（二）</w:t>
      </w:r>
      <w:r>
        <w:rPr>
          <w:b/>
          <w:color w:val="000000"/>
          <w:sz w:val="21"/>
        </w:rPr>
        <w:t>服务方式</w:t>
      </w:r>
    </w:p>
    <w:p>
      <w:pPr>
        <w:ind w:firstLine="420"/>
      </w:pPr>
      <w:r>
        <w:rPr>
          <w:sz w:val="21"/>
        </w:rPr>
        <w:t>以服务对象家庭为核心，由康复服务专业人员为服务对象提供上门或部分时间集中的康复训练和康复护理等综合康复服务。根据服务对象实际情况开展针对性的康复服务。</w:t>
      </w:r>
    </w:p>
    <w:p>
      <w:r>
        <w:rPr>
          <w:b/>
          <w:color w:val="000000"/>
          <w:sz w:val="21"/>
        </w:rPr>
        <w:t>（三）</w:t>
      </w:r>
      <w:r>
        <w:rPr>
          <w:b/>
          <w:color w:val="000000"/>
          <w:sz w:val="21"/>
        </w:rPr>
        <w:t>服务时间和服务费用标准</w:t>
      </w:r>
    </w:p>
    <w:p>
      <w:pPr>
        <w:ind w:firstLine="420"/>
        <w:jc w:val="both"/>
      </w:pPr>
      <w:r>
        <w:rPr>
          <w:sz w:val="21"/>
        </w:rPr>
        <w:t>每人每月享受上门或部分时间集中的康复服务</w:t>
      </w:r>
      <w:r>
        <w:rPr>
          <w:sz w:val="21"/>
        </w:rPr>
        <w:t>6</w:t>
      </w:r>
      <w:r>
        <w:rPr>
          <w:sz w:val="21"/>
        </w:rPr>
        <w:t>次，每次服务时间不少于</w:t>
      </w:r>
      <w:r>
        <w:rPr>
          <w:sz w:val="21"/>
        </w:rPr>
        <w:t>1</w:t>
      </w:r>
      <w:r>
        <w:rPr>
          <w:sz w:val="21"/>
        </w:rPr>
        <w:t>小时，</w:t>
      </w:r>
      <w:r>
        <w:rPr>
          <w:sz w:val="21"/>
        </w:rPr>
        <w:t>单次</w:t>
      </w:r>
      <w:r>
        <w:rPr>
          <w:sz w:val="21"/>
        </w:rPr>
        <w:t>服务费用标准为</w:t>
      </w:r>
      <w:r>
        <w:rPr>
          <w:sz w:val="21"/>
        </w:rPr>
        <w:t>中标</w:t>
      </w:r>
      <w:r>
        <w:rPr>
          <w:sz w:val="21"/>
        </w:rPr>
        <w:t>单价</w:t>
      </w:r>
      <w:r>
        <w:rPr>
          <w:sz w:val="21"/>
        </w:rPr>
        <w:t>，按实结算，每人</w:t>
      </w:r>
      <w:r>
        <w:rPr>
          <w:sz w:val="21"/>
        </w:rPr>
        <w:t>每</w:t>
      </w:r>
      <w:r>
        <w:rPr>
          <w:sz w:val="21"/>
        </w:rPr>
        <w:t>月</w:t>
      </w:r>
      <w:r>
        <w:rPr>
          <w:sz w:val="21"/>
        </w:rPr>
        <w:t>不超过</w:t>
      </w:r>
      <w:r>
        <w:rPr>
          <w:sz w:val="21"/>
        </w:rPr>
        <w:t>6</w:t>
      </w:r>
      <w:r>
        <w:rPr>
          <w:sz w:val="21"/>
        </w:rPr>
        <w:t>次</w:t>
      </w:r>
      <w:r>
        <w:rPr>
          <w:sz w:val="21"/>
        </w:rPr>
        <w:t>。</w:t>
      </w:r>
    </w:p>
    <w:p>
      <w:r>
        <w:rPr>
          <w:b/>
          <w:color w:val="000000"/>
          <w:sz w:val="21"/>
        </w:rPr>
        <w:t>（四）</w:t>
      </w:r>
      <w:r>
        <w:rPr>
          <w:b/>
          <w:color w:val="000000"/>
          <w:sz w:val="21"/>
        </w:rPr>
        <w:t>服务对象及人数</w:t>
      </w:r>
    </w:p>
    <w:p>
      <w:pPr>
        <w:ind w:firstLine="420"/>
        <w:jc w:val="left"/>
      </w:pPr>
      <w:r>
        <w:rPr>
          <w:sz w:val="21"/>
        </w:rPr>
        <w:t>符合《佛山市禅城区人民政府残疾人工作委员会关于印发禅城区残疾人康复救助服务相关实施细则的通知》</w:t>
      </w:r>
      <w:r>
        <w:rPr>
          <w:sz w:val="21"/>
        </w:rPr>
        <w:t>(禅残工委〔2022〕3号 )中的肢体残疾人，服务人数约为334人，以</w:t>
      </w:r>
      <w:r>
        <w:rPr>
          <w:sz w:val="21"/>
        </w:rPr>
        <w:t>甲方或丙方</w:t>
      </w:r>
      <w:r>
        <w:rPr>
          <w:sz w:val="21"/>
        </w:rPr>
        <w:t>最终审核确认为准。</w:t>
      </w:r>
      <w:r>
        <w:rPr>
          <w:sz w:val="21"/>
        </w:rPr>
        <w:t>佛山市</w:t>
      </w:r>
      <w:r>
        <w:rPr>
          <w:sz w:val="21"/>
        </w:rPr>
        <w:t>禅城区</w:t>
      </w:r>
      <w:r>
        <w:rPr>
          <w:sz w:val="21"/>
        </w:rPr>
        <w:t>各镇街服务人数分布情况如下：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943"/>
        <w:gridCol w:w="2000"/>
        <w:gridCol w:w="2087"/>
        <w:gridCol w:w="2245"/>
      </w:tblGrid>
      <w:tr>
        <w:tc>
          <w:tcPr>
            <w:tcW w:type="dxa" w:w="1943"/>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2000"/>
            <w:tcBorders>
              <w:top w:val="single" w:color="000000" w:sz="4"/>
              <w:left w:val="single" w:color="000000" w:sz="4"/>
              <w:bottom w:val="single" w:color="000000" w:sz="4"/>
              <w:right w:val="single" w:color="000000" w:sz="4"/>
            </w:tcBorders>
            <w:vAlign w:val="top"/>
          </w:tcPr>
          <w:p>
            <w:pPr>
              <w:jc w:val="center"/>
            </w:pPr>
            <w:r>
              <w:rPr>
                <w:b/>
                <w:sz w:val="21"/>
              </w:rPr>
              <w:t>原服务人数（人）</w:t>
            </w:r>
          </w:p>
        </w:tc>
        <w:tc>
          <w:tcPr>
            <w:tcW w:type="dxa" w:w="2087"/>
            <w:tcBorders>
              <w:top w:val="single" w:color="000000" w:sz="4"/>
              <w:left w:val="single" w:color="000000" w:sz="4"/>
              <w:bottom w:val="single" w:color="000000" w:sz="4"/>
              <w:right w:val="single" w:color="000000" w:sz="4"/>
            </w:tcBorders>
            <w:vAlign w:val="top"/>
          </w:tcPr>
          <w:p>
            <w:pPr>
              <w:jc w:val="center"/>
            </w:pPr>
            <w:r>
              <w:rPr>
                <w:b/>
                <w:sz w:val="21"/>
              </w:rPr>
              <w:t>预计新增</w:t>
            </w:r>
          </w:p>
          <w:p>
            <w:pPr>
              <w:jc w:val="center"/>
            </w:pPr>
            <w:r>
              <w:rPr>
                <w:b/>
                <w:sz w:val="21"/>
              </w:rPr>
              <w:t>服务人数（人）</w:t>
            </w:r>
          </w:p>
        </w:tc>
        <w:tc>
          <w:tcPr>
            <w:tcW w:type="dxa" w:w="2245"/>
            <w:tcBorders>
              <w:top w:val="single" w:color="000000" w:sz="4"/>
              <w:left w:val="single" w:color="000000" w:sz="4"/>
              <w:bottom w:val="single" w:color="000000" w:sz="4"/>
              <w:right w:val="single" w:color="000000" w:sz="4"/>
            </w:tcBorders>
            <w:vAlign w:val="top"/>
          </w:tcPr>
          <w:p>
            <w:pPr>
              <w:jc w:val="center"/>
            </w:pPr>
            <w:r>
              <w:rPr>
                <w:b/>
                <w:sz w:val="21"/>
              </w:rPr>
              <w:t>预计总服务人数（人）</w:t>
            </w:r>
          </w:p>
        </w:tc>
      </w:tr>
      <w:tr>
        <w:tc>
          <w:tcPr>
            <w:tcW w:type="dxa" w:w="1943"/>
            <w:tcBorders>
              <w:top w:val="none" w:color="000000" w:sz="4"/>
              <w:left w:val="single" w:color="000000" w:sz="4"/>
              <w:bottom w:val="single" w:color="000000" w:sz="4"/>
              <w:right w:val="single" w:color="000000" w:sz="4"/>
            </w:tcBorders>
            <w:vAlign w:val="top"/>
          </w:tcPr>
          <w:p>
            <w:pPr>
              <w:jc w:val="center"/>
            </w:pPr>
            <w:r>
              <w:rPr>
                <w:sz w:val="21"/>
              </w:rPr>
              <w:t>祖庙街道</w:t>
            </w:r>
          </w:p>
        </w:tc>
        <w:tc>
          <w:tcPr>
            <w:tcW w:type="dxa" w:w="2000"/>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2087"/>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2245"/>
            <w:tcBorders>
              <w:top w:val="none" w:color="000000" w:sz="4"/>
              <w:left w:val="single" w:color="000000" w:sz="4"/>
              <w:bottom w:val="single" w:color="000000" w:sz="4"/>
              <w:right w:val="single" w:color="000000" w:sz="4"/>
            </w:tcBorders>
            <w:vAlign w:val="top"/>
          </w:tcPr>
          <w:p>
            <w:pPr>
              <w:jc w:val="center"/>
            </w:pPr>
            <w:r>
              <w:rPr>
                <w:sz w:val="21"/>
              </w:rPr>
              <w:t>130</w:t>
            </w:r>
          </w:p>
        </w:tc>
      </w:tr>
      <w:tr>
        <w:tc>
          <w:tcPr>
            <w:tcW w:type="dxa" w:w="1943"/>
            <w:tcBorders>
              <w:top w:val="none" w:color="000000" w:sz="4"/>
              <w:left w:val="single" w:color="000000" w:sz="4"/>
              <w:bottom w:val="single" w:color="000000" w:sz="4"/>
              <w:right w:val="single" w:color="000000" w:sz="4"/>
            </w:tcBorders>
            <w:vAlign w:val="top"/>
          </w:tcPr>
          <w:p>
            <w:pPr>
              <w:jc w:val="center"/>
            </w:pPr>
            <w:r>
              <w:rPr>
                <w:sz w:val="21"/>
              </w:rPr>
              <w:t>张槎街道</w:t>
            </w:r>
          </w:p>
        </w:tc>
        <w:tc>
          <w:tcPr>
            <w:tcW w:type="dxa" w:w="200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08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245"/>
            <w:tcBorders>
              <w:top w:val="none" w:color="000000" w:sz="4"/>
              <w:left w:val="single" w:color="000000" w:sz="4"/>
              <w:bottom w:val="single" w:color="000000" w:sz="4"/>
              <w:right w:val="single" w:color="000000" w:sz="4"/>
            </w:tcBorders>
            <w:vAlign w:val="top"/>
          </w:tcPr>
          <w:p>
            <w:pPr>
              <w:jc w:val="center"/>
            </w:pPr>
            <w:r>
              <w:rPr>
                <w:sz w:val="21"/>
              </w:rPr>
              <w:t>58</w:t>
            </w:r>
          </w:p>
        </w:tc>
      </w:tr>
      <w:tr>
        <w:tc>
          <w:tcPr>
            <w:tcW w:type="dxa" w:w="1943"/>
            <w:tcBorders>
              <w:top w:val="none" w:color="000000" w:sz="4"/>
              <w:left w:val="single" w:color="000000" w:sz="4"/>
              <w:bottom w:val="single" w:color="000000" w:sz="4"/>
              <w:right w:val="single" w:color="000000" w:sz="4"/>
            </w:tcBorders>
            <w:vAlign w:val="top"/>
          </w:tcPr>
          <w:p>
            <w:pPr>
              <w:jc w:val="center"/>
            </w:pPr>
            <w:r>
              <w:rPr>
                <w:sz w:val="21"/>
              </w:rPr>
              <w:t>石湾镇街道</w:t>
            </w:r>
          </w:p>
        </w:tc>
        <w:tc>
          <w:tcPr>
            <w:tcW w:type="dxa" w:w="200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087"/>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2245"/>
            <w:tcBorders>
              <w:top w:val="none" w:color="000000" w:sz="4"/>
              <w:left w:val="single" w:color="000000" w:sz="4"/>
              <w:bottom w:val="single" w:color="000000" w:sz="4"/>
              <w:right w:val="single" w:color="000000" w:sz="4"/>
            </w:tcBorders>
            <w:vAlign w:val="top"/>
          </w:tcPr>
          <w:p>
            <w:pPr>
              <w:jc w:val="center"/>
            </w:pPr>
            <w:r>
              <w:rPr>
                <w:sz w:val="21"/>
              </w:rPr>
              <w:t>138</w:t>
            </w:r>
          </w:p>
        </w:tc>
      </w:tr>
      <w:tr>
        <w:tc>
          <w:tcPr>
            <w:tcW w:type="dxa" w:w="1943"/>
            <w:tcBorders>
              <w:top w:val="none" w:color="000000" w:sz="4"/>
              <w:left w:val="single" w:color="000000" w:sz="4"/>
              <w:bottom w:val="single" w:color="000000" w:sz="4"/>
              <w:right w:val="single" w:color="000000" w:sz="4"/>
            </w:tcBorders>
            <w:vAlign w:val="top"/>
          </w:tcPr>
          <w:p>
            <w:pPr>
              <w:jc w:val="center"/>
            </w:pPr>
            <w:r>
              <w:rPr>
                <w:sz w:val="21"/>
              </w:rPr>
              <w:t>南庄镇</w:t>
            </w:r>
          </w:p>
        </w:tc>
        <w:tc>
          <w:tcPr>
            <w:tcW w:type="dxa" w:w="200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87"/>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245"/>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194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000"/>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2087"/>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2245"/>
            <w:tcBorders>
              <w:top w:val="none" w:color="000000" w:sz="4"/>
              <w:left w:val="single" w:color="000000" w:sz="4"/>
              <w:bottom w:val="single" w:color="000000" w:sz="4"/>
              <w:right w:val="single" w:color="000000" w:sz="4"/>
            </w:tcBorders>
            <w:vAlign w:val="top"/>
          </w:tcPr>
          <w:p>
            <w:pPr>
              <w:jc w:val="center"/>
            </w:pPr>
            <w:r>
              <w:rPr>
                <w:sz w:val="21"/>
              </w:rPr>
              <w:t>334</w:t>
            </w:r>
          </w:p>
        </w:tc>
      </w:tr>
    </w:tbl>
    <w:p/>
    <w:p>
      <w:r>
        <w:rPr>
          <w:b/>
          <w:color w:val="000000"/>
          <w:sz w:val="21"/>
        </w:rPr>
        <w:t>（五）</w:t>
      </w:r>
      <w:r>
        <w:rPr>
          <w:b/>
          <w:color w:val="000000"/>
          <w:sz w:val="21"/>
        </w:rPr>
        <w:t>服务内容</w:t>
      </w:r>
    </w:p>
    <w:p>
      <w:pPr>
        <w:ind w:firstLine="420"/>
      </w:pPr>
      <w:r>
        <w:rPr>
          <w:sz w:val="21"/>
        </w:rPr>
        <w:t>1.康复训练：由具有相应专业资质的医生、治疗师上门为肢体残疾人提供康复训练，包括功能评估、运动治疗、作业治疗、语言治疗、心理治疗、物理治疗、生活能力训练和个别训练等，同时为服务对象的照顾者提供居家训练及支援，以加强他们照顾残疾人的能力，帮助他们克服日常家居生活中遇到的相关问题。</w:t>
      </w:r>
    </w:p>
    <w:p>
      <w:pPr>
        <w:ind w:firstLine="420"/>
      </w:pPr>
      <w:r>
        <w:rPr>
          <w:sz w:val="21"/>
        </w:rPr>
        <w:t>2.康复护理：由具有相应专业资质的护理人员上门为肢体残疾人提供翻身、饮食护理、洗漱护理及排泄护理等各项康复护理服务。</w:t>
      </w:r>
    </w:p>
    <w:p>
      <w:pPr>
        <w:ind w:firstLine="420"/>
      </w:pPr>
      <w:r>
        <w:rPr>
          <w:sz w:val="21"/>
        </w:rPr>
        <w:t>3.其他服务：①建立康复训练档案：为服务对象建立康复训练档案及健康档案，包括训练登记、训练评估、训练计划、训练记录、评估与总结和评估标准等内容，作为康复训练工作规范化的重要措施；②社区家庭康复指导：为康复训练对象及其监护人员提供康复咨询、康复训练的基本知识和技能培训，并做好服务对象后续跟踪和转介服务；③做好数据统计和分析，建立业务数据电子表格资料，对相关服务数据做好整理，并定期进行统计、分析；④为新一年度有居家康复服务需求的肢体残疾人进行前期评估。</w:t>
      </w:r>
    </w:p>
    <w:p>
      <w:r>
        <w:rPr>
          <w:b/>
          <w:color w:val="000000"/>
          <w:sz w:val="21"/>
        </w:rPr>
        <w:t>（六）</w:t>
      </w:r>
      <w:r>
        <w:rPr>
          <w:b/>
          <w:color w:val="000000"/>
          <w:sz w:val="21"/>
        </w:rPr>
        <w:t>人员配备要求</w:t>
      </w:r>
    </w:p>
    <w:p>
      <w:pPr>
        <w:ind w:firstLine="420"/>
      </w:pPr>
      <w:r>
        <w:rPr>
          <w:sz w:val="21"/>
        </w:rPr>
        <w:t>1.</w:t>
      </w:r>
      <w:r>
        <w:rPr>
          <w:sz w:val="21"/>
        </w:rPr>
        <w:t>乙方需根据服务对象的人数及服务时长数，配备</w:t>
      </w:r>
      <w:r>
        <w:rPr>
          <w:sz w:val="21"/>
        </w:rPr>
        <w:t>15</w:t>
      </w:r>
      <w:r>
        <w:rPr>
          <w:sz w:val="21"/>
        </w:rPr>
        <w:t>人的工作人员（含康复医生、治疗师和护士）。其中有</w:t>
      </w:r>
      <w:r>
        <w:rPr>
          <w:sz w:val="21"/>
        </w:rPr>
        <w:t>1</w:t>
      </w:r>
      <w:r>
        <w:rPr>
          <w:sz w:val="21"/>
        </w:rPr>
        <w:t>名康复医生，需持有执业证书；治疗师和护士均需持有执业证书。乙方必须保证项目实施过程中的人员至少满足以上要求</w:t>
      </w:r>
      <w:r>
        <w:rPr>
          <w:sz w:val="21"/>
        </w:rPr>
        <w:t>，</w:t>
      </w:r>
      <w:r>
        <w:rPr>
          <w:sz w:val="21"/>
        </w:rPr>
        <w:t>甲方</w:t>
      </w:r>
      <w:r>
        <w:rPr>
          <w:sz w:val="21"/>
        </w:rPr>
        <w:t>有权根据实际情况要求</w:t>
      </w:r>
      <w:r>
        <w:rPr>
          <w:sz w:val="21"/>
        </w:rPr>
        <w:t>乙方</w:t>
      </w:r>
      <w:r>
        <w:rPr>
          <w:sz w:val="21"/>
        </w:rPr>
        <w:t>增加服务</w:t>
      </w:r>
      <w:r>
        <w:rPr>
          <w:sz w:val="21"/>
        </w:rPr>
        <w:t>人员</w:t>
      </w:r>
      <w:r>
        <w:rPr>
          <w:sz w:val="21"/>
        </w:rPr>
        <w:t>。</w:t>
      </w:r>
    </w:p>
    <w:p>
      <w:pPr>
        <w:ind w:firstLine="420"/>
      </w:pPr>
      <w:r>
        <w:rPr>
          <w:sz w:val="21"/>
        </w:rPr>
        <w:t>2.乙方须保证项目实施过程中的人员与乙方投标文件内拟投入的人员一致。在项目实施过程中，拟投入的人员不可变更，如因特殊情况，如人员离职等确需变更的，须提前15天向甲方或丙方提交书面申请，经甲方或丙方书面同意后方可变更且变更人员资质须等于或高于原人员资质。如在项目实施过程中乙方投标文件内拟投入的人员不能满足实际要求的，乙方应无条件及时补充具有相应资质的人员。项目实施过程中，如总服务人数与招标文件内预计人数有较大变化的，经甲方或丙方同意后，乙方可根据总服务人数调整专业康复服务人员数量，但应保证在项目实施过程中配备的专业康复服务人员配比总服务人数比例不低于5%。</w:t>
      </w:r>
    </w:p>
    <w:p>
      <w:r>
        <w:rPr>
          <w:b/>
          <w:sz w:val="21"/>
        </w:rPr>
        <w:t>（七）其他</w:t>
      </w:r>
    </w:p>
    <w:p>
      <w:pPr>
        <w:jc w:val="left"/>
      </w:pPr>
      <w:r>
        <w:rPr>
          <w:sz w:val="21"/>
        </w:rPr>
        <w:t>（</w:t>
      </w:r>
      <w:r>
        <w:rPr>
          <w:sz w:val="21"/>
        </w:rPr>
        <w:t>1</w:t>
      </w:r>
      <w:r>
        <w:rPr>
          <w:sz w:val="21"/>
        </w:rPr>
        <w:t>）</w:t>
      </w:r>
      <w:r>
        <w:rPr>
          <w:sz w:val="21"/>
        </w:rPr>
        <w:t>本项目</w:t>
      </w:r>
      <w:r>
        <w:rPr>
          <w:sz w:val="21"/>
        </w:rPr>
        <w:t>甲方为佛山市禅城区民政局，服务管理</w:t>
      </w:r>
      <w:r>
        <w:rPr>
          <w:sz w:val="21"/>
        </w:rPr>
        <w:t>单位为佛山市禅城区残疾人联合会，由佛山市禅城区残疾人联合会对</w:t>
      </w:r>
      <w:r>
        <w:rPr>
          <w:sz w:val="21"/>
        </w:rPr>
        <w:t>乙方</w:t>
      </w:r>
      <w:r>
        <w:rPr>
          <w:sz w:val="21"/>
        </w:rPr>
        <w:t>提供的服务进行监管与考核。</w:t>
      </w:r>
    </w:p>
    <w:p>
      <w:pPr>
        <w:jc w:val="left"/>
      </w:pPr>
      <w:r>
        <w:rPr>
          <w:sz w:val="21"/>
        </w:rPr>
        <w:t>（</w:t>
      </w:r>
      <w:r>
        <w:rPr>
          <w:sz w:val="21"/>
        </w:rPr>
        <w:t>2）</w:t>
      </w:r>
      <w:r>
        <w:rPr>
          <w:sz w:val="21"/>
        </w:rPr>
        <w:t>乙方应保障服务人员在项目服务过程中的人身与财产安全，服务人员在项目服务工作（含路途）中出现的安全风险、以及在服务过程中造成的被服务对象安全风险均由乙方承担。</w:t>
      </w:r>
    </w:p>
    <w:p>
      <w:r>
        <w:rPr>
          <w:b/>
          <w:sz w:val="21"/>
        </w:rPr>
        <w:t>三、</w:t>
      </w:r>
      <w:r>
        <w:rPr>
          <w:b/>
          <w:sz w:val="21"/>
        </w:rPr>
        <w:t>考核评估</w:t>
      </w:r>
    </w:p>
    <w:p>
      <w:pPr>
        <w:ind w:firstLine="420"/>
      </w:pPr>
      <w:r>
        <w:rPr>
          <w:sz w:val="21"/>
        </w:rPr>
        <w:t>为保证服务质量，甲方或丙方聘请第三方评估机构对乙方机构每季度进行一次考核，每次考核</w:t>
      </w:r>
      <w:r>
        <w:rPr>
          <w:sz w:val="21"/>
        </w:rPr>
        <w:t>100分为满分，85分为合格，不满85分为不合格，以85分为界，每低1分扣发当季度1%服务费，连续两个（或以上）季度不合格的，甲方或丙方有权解除合同。详见附件《</w:t>
      </w:r>
      <w:r>
        <w:rPr>
          <w:sz w:val="21"/>
        </w:rPr>
        <w:t>禅城区肢体残疾人居家康复服务采购质量季度考核表</w:t>
      </w:r>
      <w:r>
        <w:rPr>
          <w:sz w:val="21"/>
        </w:rPr>
        <w:t>》。</w:t>
      </w:r>
    </w:p>
    <w:p>
      <w:r>
        <w:rPr>
          <w:b/>
          <w:sz w:val="21"/>
        </w:rPr>
        <w:t>四、服务对照执行标准</w:t>
      </w:r>
    </w:p>
    <w:p>
      <w:pPr>
        <w:ind w:firstLine="210"/>
      </w:pPr>
      <w:r>
        <w:rPr>
          <w:color w:val="000000"/>
          <w:sz w:val="21"/>
        </w:rPr>
        <w:t>1.</w:t>
      </w:r>
      <w:r>
        <w:rPr>
          <w:color w:val="000000"/>
          <w:sz w:val="21"/>
        </w:rPr>
        <w:t>符合中华人民共和国国家和履约地相关安全质量标准、行业技术规范标准；</w:t>
      </w:r>
    </w:p>
    <w:p>
      <w:pPr>
        <w:ind w:firstLine="210"/>
      </w:pPr>
      <w:r>
        <w:rPr>
          <w:color w:val="000000"/>
          <w:sz w:val="21"/>
        </w:rPr>
        <w:t>2.</w:t>
      </w:r>
      <w:r>
        <w:rPr>
          <w:color w:val="000000"/>
          <w:sz w:val="21"/>
        </w:rPr>
        <w:t>符合采购文件和响应承诺中各方共同认可的合理要求；</w:t>
      </w:r>
    </w:p>
    <w:p>
      <w:pPr>
        <w:ind w:firstLine="420"/>
      </w:pPr>
      <w:r>
        <w:rPr>
          <w:color w:val="000000"/>
          <w:sz w:val="21"/>
        </w:rPr>
        <w:t>上述各类标准与法规必须是有关官方机构最新发布的现行标准版本。</w:t>
      </w:r>
    </w:p>
    <w:p>
      <w:r>
        <w:rPr>
          <w:b/>
          <w:sz w:val="21"/>
        </w:rPr>
        <w:t>五、投诉跟踪服务要求</w:t>
      </w:r>
    </w:p>
    <w:p>
      <w:r>
        <w:rPr>
          <w:color w:val="000000"/>
          <w:sz w:val="21"/>
        </w:rPr>
        <w:t>1.</w:t>
      </w:r>
      <w:r>
        <w:rPr>
          <w:color w:val="000000"/>
          <w:sz w:val="21"/>
        </w:rPr>
        <w:t>乙方须提供常设的投诉热线服务，并对投诉内容进行及时跟踪、回访。对甲方</w:t>
      </w:r>
      <w:r>
        <w:rPr>
          <w:sz w:val="21"/>
        </w:rPr>
        <w:t>或丙方</w:t>
      </w:r>
      <w:r>
        <w:rPr>
          <w:color w:val="000000"/>
          <w:sz w:val="21"/>
        </w:rPr>
        <w:t>的投诉与通知，必须按甲方</w:t>
      </w:r>
      <w:r>
        <w:rPr>
          <w:sz w:val="21"/>
        </w:rPr>
        <w:t>或丙方</w:t>
      </w:r>
      <w:r>
        <w:rPr>
          <w:color w:val="000000"/>
          <w:sz w:val="21"/>
        </w:rPr>
        <w:t>指定的时间内处理完毕，若特发事件不能在短时间内解决，乙方必须采取应急措施，或按甲方</w:t>
      </w:r>
      <w:r>
        <w:rPr>
          <w:sz w:val="21"/>
        </w:rPr>
        <w:t>或丙方</w:t>
      </w:r>
      <w:r>
        <w:rPr>
          <w:color w:val="000000"/>
          <w:sz w:val="21"/>
        </w:rPr>
        <w:t>认可的应急方案执行，不得影响甲方</w:t>
      </w:r>
      <w:r>
        <w:rPr>
          <w:sz w:val="21"/>
        </w:rPr>
        <w:t>或丙方</w:t>
      </w:r>
      <w:r>
        <w:rPr>
          <w:color w:val="000000"/>
          <w:sz w:val="21"/>
        </w:rPr>
        <w:t>的正常工作业务。</w:t>
      </w:r>
    </w:p>
    <w:p>
      <w:r>
        <w:rPr>
          <w:color w:val="000000"/>
          <w:sz w:val="21"/>
        </w:rPr>
        <w:t>2.</w:t>
      </w:r>
      <w:r>
        <w:rPr>
          <w:color w:val="000000"/>
          <w:sz w:val="21"/>
        </w:rPr>
        <w:t>服务期内，甲方</w:t>
      </w:r>
      <w:r>
        <w:rPr>
          <w:sz w:val="21"/>
        </w:rPr>
        <w:t>或丙方</w:t>
      </w:r>
      <w:r>
        <w:rPr>
          <w:color w:val="000000"/>
          <w:sz w:val="21"/>
        </w:rPr>
        <w:t>有权按本项目的管理要求对乙方进行不定期抽查检查，若对不合格的管理服务提出警告后，仍未得到有效解决时，甲方</w:t>
      </w:r>
      <w:r>
        <w:rPr>
          <w:sz w:val="21"/>
        </w:rPr>
        <w:t>或丙方</w:t>
      </w:r>
      <w:r>
        <w:rPr>
          <w:color w:val="000000"/>
          <w:sz w:val="21"/>
        </w:rPr>
        <w:t>有权终止管理合同。</w:t>
      </w:r>
    </w:p>
    <w:p>
      <w:r>
        <w:rPr>
          <w:color w:val="000000"/>
          <w:sz w:val="21"/>
        </w:rPr>
        <w:t>3.</w:t>
      </w:r>
      <w:r>
        <w:rPr>
          <w:color w:val="000000"/>
          <w:sz w:val="21"/>
        </w:rPr>
        <w:t>乙方服务机构名称及地址：</w:t>
      </w:r>
      <w:r>
        <w:rPr/>
        <w:t xml:space="preserve"> </w:t>
      </w:r>
    </w:p>
    <w:p>
      <w:r>
        <w:rPr>
          <w:color w:val="000000"/>
          <w:sz w:val="21"/>
        </w:rPr>
        <w:t>联系人</w:t>
      </w:r>
      <w:r>
        <w:rPr>
          <w:color w:val="000000"/>
          <w:sz w:val="21"/>
        </w:rPr>
        <w:t>1：          ，联系电话：            ，手机：          ；</w:t>
      </w:r>
    </w:p>
    <w:p>
      <w:r>
        <w:rPr>
          <w:color w:val="000000"/>
          <w:sz w:val="21"/>
        </w:rPr>
        <w:t>联系人</w:t>
      </w:r>
      <w:r>
        <w:rPr>
          <w:color w:val="000000"/>
          <w:sz w:val="21"/>
        </w:rPr>
        <w:t>2：          ，联系电话：            ，手机：          ；</w:t>
      </w:r>
    </w:p>
    <w:p>
      <w:r>
        <w:rPr>
          <w:color w:val="000000"/>
          <w:sz w:val="21"/>
        </w:rPr>
        <w:t>服务专线电话：</w:t>
      </w:r>
    </w:p>
    <w:p>
      <w:r>
        <w:rPr>
          <w:color w:val="000000"/>
          <w:sz w:val="21"/>
        </w:rPr>
        <w:t>4.</w:t>
      </w:r>
      <w:r>
        <w:rPr>
          <w:color w:val="000000"/>
          <w:sz w:val="21"/>
        </w:rPr>
        <w:t>其他服务要求：（补充内容不得对采购文件和投标</w:t>
      </w:r>
      <w:r>
        <w:rPr>
          <w:color w:val="000000"/>
          <w:sz w:val="21"/>
        </w:rPr>
        <w:t>/响应文件作实质性修改）</w:t>
      </w:r>
    </w:p>
    <w:p>
      <w:r>
        <w:rPr>
          <w:u w:val="single"/>
        </w:rPr>
        <w:t xml:space="preserve">                                                          </w:t>
      </w:r>
      <w:r>
        <w:rPr>
          <w:color w:val="000000"/>
          <w:sz w:val="21"/>
        </w:rPr>
        <w:t>。</w:t>
      </w:r>
    </w:p>
    <w:p>
      <w:r>
        <w:rPr>
          <w:b/>
          <w:color w:val="000000"/>
          <w:sz w:val="21"/>
        </w:rPr>
        <w:t>六、</w:t>
      </w:r>
      <w:r>
        <w:rPr>
          <w:b/>
          <w:color w:val="000000"/>
          <w:sz w:val="21"/>
        </w:rPr>
        <w:t>验收要求</w:t>
      </w:r>
    </w:p>
    <w:p>
      <w:r>
        <w:rPr>
          <w:color w:val="000000"/>
          <w:sz w:val="21"/>
        </w:rPr>
        <w:t>1.</w:t>
      </w:r>
      <w:r>
        <w:rPr>
          <w:color w:val="000000"/>
          <w:sz w:val="21"/>
        </w:rPr>
        <w:t>甲方</w:t>
      </w:r>
      <w:r>
        <w:rPr>
          <w:sz w:val="21"/>
        </w:rPr>
        <w:t>或丙方</w:t>
      </w:r>
      <w:r>
        <w:rPr>
          <w:color w:val="000000"/>
          <w:sz w:val="21"/>
        </w:rPr>
        <w:t>在收到乙方项目验收建议之日起</w:t>
      </w:r>
      <w:r>
        <w:rPr>
          <w:color w:val="000000"/>
          <w:sz w:val="21"/>
        </w:rPr>
        <w:t>7日内按照合同的约定对履约情况进行验收。乙方需为验收提供必需的一切条件及相关费用，并提供本项目的相关文档和验收所需资料，积极配合甲方</w:t>
      </w:r>
      <w:r>
        <w:rPr>
          <w:sz w:val="21"/>
        </w:rPr>
        <w:t>或丙方</w:t>
      </w:r>
      <w:r>
        <w:rPr>
          <w:color w:val="000000"/>
          <w:sz w:val="21"/>
        </w:rPr>
        <w:t>完成验收工作。</w:t>
      </w:r>
    </w:p>
    <w:p>
      <w:r>
        <w:rPr>
          <w:color w:val="000000"/>
          <w:sz w:val="21"/>
        </w:rPr>
        <w:t>2.</w:t>
      </w:r>
      <w:r>
        <w:rPr>
          <w:color w:val="000000"/>
          <w:sz w:val="21"/>
        </w:rPr>
        <w:t>其他验收要求：（补充内容不得对采购文件和投标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七、</w:t>
      </w:r>
      <w:r>
        <w:rPr>
          <w:b/>
          <w:color w:val="000000"/>
          <w:sz w:val="21"/>
        </w:rPr>
        <w:t>知识产权和</w:t>
      </w:r>
      <w:r>
        <w:rPr>
          <w:b/>
          <w:color w:val="000000"/>
          <w:sz w:val="21"/>
        </w:rPr>
        <w:t>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w:t>
      </w:r>
      <w:r>
        <w:rPr>
          <w:sz w:val="21"/>
        </w:rPr>
        <w:t>或丙方</w:t>
      </w:r>
      <w:r>
        <w:rPr>
          <w:sz w:val="21"/>
        </w:rPr>
        <w:t>交付技术文档资料时止，乙方必须采取措施对本项目实施过程中的数据、源代码、技术文档等资料保密，否则，由于乙方过错导致的上述资料泄密的，乙方必须承担一切责任。项目完成后，甲、乙</w:t>
      </w:r>
      <w:r>
        <w:rPr>
          <w:sz w:val="21"/>
        </w:rPr>
        <w:t>、</w:t>
      </w:r>
      <w:r>
        <w:rPr>
          <w:sz w:val="21"/>
        </w:rPr>
        <w:t>丙</w:t>
      </w:r>
      <w:r>
        <w:rPr>
          <w:sz w:val="21"/>
        </w:rPr>
        <w:t>方均有责任对本项目的技术保密承担责任。</w:t>
      </w:r>
    </w:p>
    <w:p>
      <w:r>
        <w:rPr>
          <w:sz w:val="21"/>
        </w:rPr>
        <w:t>1）未经甲方</w:t>
      </w:r>
      <w:r>
        <w:rPr>
          <w:sz w:val="21"/>
        </w:rPr>
        <w:t>或丙方</w:t>
      </w:r>
      <w:r>
        <w:rPr>
          <w:sz w:val="21"/>
        </w:rPr>
        <w:t>事先书面同意，乙方不得将由甲方</w:t>
      </w:r>
      <w:r>
        <w:rPr>
          <w:sz w:val="21"/>
        </w:rPr>
        <w:t>或</w:t>
      </w:r>
      <w:r>
        <w:rPr>
          <w:sz w:val="21"/>
        </w:rPr>
        <w:t>丙方</w:t>
      </w:r>
      <w:r>
        <w:rPr>
          <w:sz w:val="21"/>
        </w:rPr>
        <w:t>为本合同提供的</w:t>
      </w:r>
      <w:r>
        <w:rPr>
          <w:sz w:val="21"/>
        </w:rPr>
        <w:t>服务对象信息、</w:t>
      </w:r>
      <w:r>
        <w:rPr>
          <w:sz w:val="21"/>
        </w:rPr>
        <w:t>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w:t>
      </w:r>
      <w:r>
        <w:rPr>
          <w:sz w:val="21"/>
        </w:rPr>
        <w:t>或</w:t>
      </w:r>
      <w:r>
        <w:rPr>
          <w:sz w:val="21"/>
        </w:rPr>
        <w:t>丙</w:t>
      </w:r>
      <w:r>
        <w:rPr>
          <w:sz w:val="21"/>
        </w:rPr>
        <w:t>方的财产。如果甲方</w:t>
      </w:r>
      <w:r>
        <w:rPr>
          <w:sz w:val="21"/>
        </w:rPr>
        <w:t>或</w:t>
      </w:r>
      <w:r>
        <w:rPr>
          <w:sz w:val="21"/>
        </w:rPr>
        <w:t>丙</w:t>
      </w:r>
      <w:r>
        <w:rPr>
          <w:sz w:val="21"/>
        </w:rPr>
        <w:t>方有要求，乙方在完成合同后应将这些物件及全部复制件还给甲方</w:t>
      </w:r>
      <w:r>
        <w:rPr>
          <w:sz w:val="21"/>
        </w:rPr>
        <w:t>或</w:t>
      </w:r>
      <w:r>
        <w:rPr>
          <w:sz w:val="21"/>
        </w:rPr>
        <w:t>丙</w:t>
      </w:r>
      <w:r>
        <w:rPr>
          <w:sz w:val="21"/>
        </w:rPr>
        <w:t>方。</w:t>
      </w:r>
    </w:p>
    <w:p>
      <w:r>
        <w:rPr>
          <w:b/>
          <w:color w:val="000000"/>
          <w:sz w:val="21"/>
        </w:rPr>
        <w:t>八、</w:t>
      </w:r>
      <w:r>
        <w:rPr>
          <w:b/>
          <w:color w:val="000000"/>
          <w:sz w:val="21"/>
        </w:rPr>
        <w:t>违约责任</w:t>
      </w:r>
    </w:p>
    <w:p>
      <w:pPr>
        <w:jc w:val="both"/>
      </w:pPr>
      <w:r>
        <w:rPr>
          <w:sz w:val="21"/>
        </w:rPr>
        <w:t>1.</w:t>
      </w:r>
      <w:r>
        <w:rPr>
          <w:sz w:val="21"/>
        </w:rPr>
        <w:t>乙方</w:t>
      </w:r>
      <w:r>
        <w:rPr>
          <w:sz w:val="21"/>
        </w:rPr>
        <w:t>提供的服务不符合</w:t>
      </w:r>
      <w:r>
        <w:rPr>
          <w:sz w:val="21"/>
        </w:rPr>
        <w:t>招标文件</w:t>
      </w:r>
      <w:r>
        <w:rPr>
          <w:sz w:val="21"/>
        </w:rPr>
        <w:t>、</w:t>
      </w:r>
      <w:r>
        <w:rPr>
          <w:sz w:val="21"/>
        </w:rPr>
        <w:t>投标文件</w:t>
      </w:r>
      <w:r>
        <w:rPr>
          <w:sz w:val="21"/>
        </w:rPr>
        <w:t>或本合同规定的，</w:t>
      </w:r>
      <w:r>
        <w:rPr>
          <w:sz w:val="21"/>
        </w:rPr>
        <w:t>甲方</w:t>
      </w:r>
      <w:r>
        <w:rPr>
          <w:sz w:val="21"/>
        </w:rPr>
        <w:t>或</w:t>
      </w:r>
      <w:r>
        <w:rPr>
          <w:sz w:val="21"/>
        </w:rPr>
        <w:t>丙</w:t>
      </w:r>
      <w:r>
        <w:rPr>
          <w:sz w:val="21"/>
        </w:rPr>
        <w:t>方有权拒收，并且乙方须向</w:t>
      </w:r>
      <w:r>
        <w:rPr>
          <w:sz w:val="21"/>
        </w:rPr>
        <w:t>甲方</w:t>
      </w:r>
      <w:r>
        <w:rPr>
          <w:sz w:val="21"/>
        </w:rPr>
        <w:t>或</w:t>
      </w:r>
      <w:r>
        <w:rPr>
          <w:sz w:val="21"/>
        </w:rPr>
        <w:t>丙</w:t>
      </w:r>
      <w:r>
        <w:rPr>
          <w:sz w:val="21"/>
        </w:rPr>
        <w:t>方支付本合同总价</w:t>
      </w:r>
      <w:r>
        <w:rPr>
          <w:sz w:val="21"/>
        </w:rPr>
        <w:t>5%的违约金</w:t>
      </w:r>
      <w:r>
        <w:rPr>
          <w:sz w:val="21"/>
        </w:rPr>
        <w:t>并在</w:t>
      </w:r>
      <w:r>
        <w:rPr>
          <w:sz w:val="21"/>
        </w:rPr>
        <w:t>甲方</w:t>
      </w:r>
      <w:r>
        <w:rPr>
          <w:sz w:val="21"/>
        </w:rPr>
        <w:t>或</w:t>
      </w:r>
      <w:r>
        <w:rPr>
          <w:sz w:val="21"/>
        </w:rPr>
        <w:t>丙方规定的期限内更正，乙方不予更正或更正后仍不符合合同约定的，</w:t>
      </w:r>
      <w:r>
        <w:rPr>
          <w:sz w:val="21"/>
        </w:rPr>
        <w:t>甲方</w:t>
      </w:r>
      <w:r>
        <w:rPr>
          <w:sz w:val="21"/>
        </w:rPr>
        <w:t>或</w:t>
      </w:r>
      <w:r>
        <w:rPr>
          <w:sz w:val="21"/>
        </w:rPr>
        <w:t>丙方有权解除合同，</w:t>
      </w:r>
      <w:r>
        <w:rPr>
          <w:sz w:val="21"/>
        </w:rPr>
        <w:t>要求乙方支付</w:t>
      </w:r>
      <w:r>
        <w:rPr>
          <w:sz w:val="21"/>
        </w:rPr>
        <w:t>合同总额</w:t>
      </w:r>
      <w:r>
        <w:rPr>
          <w:sz w:val="21"/>
        </w:rPr>
        <w:t>30%的</w:t>
      </w:r>
      <w:r>
        <w:rPr>
          <w:sz w:val="21"/>
        </w:rPr>
        <w:t>违约金，造成</w:t>
      </w:r>
      <w:r>
        <w:rPr>
          <w:sz w:val="21"/>
        </w:rPr>
        <w:t>甲方</w:t>
      </w:r>
      <w:r>
        <w:rPr>
          <w:sz w:val="21"/>
        </w:rPr>
        <w:t>或</w:t>
      </w:r>
      <w:r>
        <w:rPr>
          <w:sz w:val="21"/>
        </w:rPr>
        <w:t>丙</w:t>
      </w:r>
      <w:r>
        <w:rPr>
          <w:sz w:val="21"/>
        </w:rPr>
        <w:t>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w:t>
      </w:r>
      <w:r>
        <w:rPr>
          <w:sz w:val="21"/>
        </w:rPr>
        <w:t>或丙方</w:t>
      </w:r>
      <w:r>
        <w:rPr>
          <w:sz w:val="21"/>
        </w:rPr>
        <w:t>支付违约金；逾期</w:t>
      </w:r>
      <w:r>
        <w:rPr>
          <w:sz w:val="21"/>
        </w:rPr>
        <w:t>15天以上（含15天）的，</w:t>
      </w:r>
      <w:r>
        <w:rPr>
          <w:sz w:val="21"/>
        </w:rPr>
        <w:t>甲方</w:t>
      </w:r>
      <w:r>
        <w:rPr>
          <w:sz w:val="21"/>
        </w:rPr>
        <w:t>或</w:t>
      </w:r>
      <w:r>
        <w:rPr>
          <w:sz w:val="21"/>
        </w:rPr>
        <w:t>丙</w:t>
      </w:r>
      <w:r>
        <w:rPr>
          <w:sz w:val="21"/>
        </w:rPr>
        <w:t>方有权终止合同，要求乙方支付</w:t>
      </w:r>
      <w:r>
        <w:rPr>
          <w:sz w:val="21"/>
        </w:rPr>
        <w:t>合同总额</w:t>
      </w:r>
      <w:r>
        <w:rPr>
          <w:sz w:val="21"/>
        </w:rPr>
        <w:t>30%的</w:t>
      </w:r>
      <w:r>
        <w:rPr>
          <w:sz w:val="21"/>
        </w:rPr>
        <w:t>违约金，造成</w:t>
      </w:r>
      <w:r>
        <w:rPr>
          <w:sz w:val="21"/>
        </w:rPr>
        <w:t>甲方</w:t>
      </w:r>
      <w:r>
        <w:rPr>
          <w:sz w:val="21"/>
        </w:rPr>
        <w:t>或</w:t>
      </w:r>
      <w:r>
        <w:rPr>
          <w:sz w:val="21"/>
        </w:rPr>
        <w:t>丙</w:t>
      </w:r>
      <w:r>
        <w:rPr>
          <w:sz w:val="21"/>
        </w:rPr>
        <w:t>方</w:t>
      </w:r>
      <w:r>
        <w:rPr>
          <w:sz w:val="21"/>
        </w:rPr>
        <w:t>其他损失的，</w:t>
      </w:r>
      <w:r>
        <w:rPr>
          <w:sz w:val="21"/>
        </w:rPr>
        <w:t>乙方</w:t>
      </w:r>
      <w:r>
        <w:rPr>
          <w:sz w:val="21"/>
        </w:rPr>
        <w:t>应予以</w:t>
      </w:r>
      <w:r>
        <w:rPr>
          <w:sz w:val="21"/>
        </w:rPr>
        <w:t>赔偿。</w:t>
      </w:r>
    </w:p>
    <w:p>
      <w:pPr>
        <w:jc w:val="both"/>
      </w:pPr>
      <w:r>
        <w:rPr>
          <w:sz w:val="21"/>
        </w:rPr>
        <w:t>3.</w:t>
      </w:r>
      <w:r>
        <w:rPr>
          <w:sz w:val="21"/>
        </w:rPr>
        <w:t>甲方</w:t>
      </w:r>
      <w:r>
        <w:rPr>
          <w:sz w:val="21"/>
        </w:rPr>
        <w:t>或</w:t>
      </w:r>
      <w:r>
        <w:rPr>
          <w:sz w:val="21"/>
        </w:rPr>
        <w:t>丙</w:t>
      </w:r>
      <w:r>
        <w:rPr>
          <w:sz w:val="21"/>
        </w:rPr>
        <w:t>方无正当理由拒</w:t>
      </w:r>
      <w:r>
        <w:rPr>
          <w:sz w:val="21"/>
        </w:rPr>
        <w:t>绝</w:t>
      </w:r>
      <w:r>
        <w:rPr>
          <w:sz w:val="21"/>
        </w:rPr>
        <w:t>服务，到期拒付服务款项</w:t>
      </w:r>
      <w:r>
        <w:rPr>
          <w:sz w:val="21"/>
        </w:rPr>
        <w:t>的，甲方</w:t>
      </w:r>
      <w:r>
        <w:rPr>
          <w:sz w:val="21"/>
        </w:rPr>
        <w:t>或</w:t>
      </w:r>
      <w:r>
        <w:rPr>
          <w:sz w:val="21"/>
        </w:rPr>
        <w:t>丙</w:t>
      </w:r>
      <w:r>
        <w:rPr>
          <w:sz w:val="21"/>
        </w:rPr>
        <w:t>方</w:t>
      </w:r>
      <w:r>
        <w:rPr>
          <w:sz w:val="21"/>
        </w:rPr>
        <w:t>向乙方偿付本合同总价的</w:t>
      </w:r>
      <w:r>
        <w:rPr>
          <w:sz w:val="21"/>
        </w:rPr>
        <w:t>5%</w:t>
      </w:r>
      <w:r>
        <w:rPr>
          <w:sz w:val="21"/>
        </w:rPr>
        <w:t>作为</w:t>
      </w:r>
      <w:r>
        <w:rPr>
          <w:sz w:val="21"/>
        </w:rPr>
        <w:t>违约金。甲方逾期付款，则每日按本合同总价的</w:t>
      </w:r>
      <w:r>
        <w:rPr>
          <w:sz w:val="21"/>
        </w:rPr>
        <w:t>万分之五</w:t>
      </w:r>
      <w:r>
        <w:rPr>
          <w:sz w:val="21"/>
        </w:rPr>
        <w:t>向乙方偿付违约金。</w:t>
      </w:r>
    </w:p>
    <w:p>
      <w:pPr>
        <w:jc w:val="left"/>
      </w:pPr>
      <w:r>
        <w:rPr>
          <w:color w:val="000000"/>
          <w:sz w:val="21"/>
        </w:rPr>
        <w:t>4.</w:t>
      </w:r>
      <w:r>
        <w:rPr>
          <w:color w:val="000000"/>
          <w:sz w:val="21"/>
        </w:rPr>
        <w:t>除政府采购合同继续履行将损害国家利益和社会公共利益外，</w:t>
      </w:r>
      <w:r>
        <w:rPr>
          <w:color w:val="000000"/>
          <w:sz w:val="21"/>
        </w:rPr>
        <w:t>甲、乙、丙</w:t>
      </w:r>
      <w:r>
        <w:rPr>
          <w:color w:val="000000"/>
          <w:sz w:val="21"/>
        </w:rPr>
        <w:t>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另外两</w:t>
      </w:r>
      <w:r>
        <w:rPr>
          <w:sz w:val="21"/>
        </w:rPr>
        <w:t>方偿付本合同总价的</w:t>
      </w:r>
      <w:r>
        <w:rPr>
          <w:sz w:val="21"/>
        </w:rPr>
        <w:t>5%</w:t>
      </w:r>
      <w:r>
        <w:rPr>
          <w:sz w:val="21"/>
        </w:rPr>
        <w:t>作为</w:t>
      </w:r>
      <w:r>
        <w:rPr>
          <w:sz w:val="21"/>
        </w:rPr>
        <w:t>违约金。</w:t>
      </w:r>
    </w:p>
    <w:p>
      <w:pPr>
        <w:jc w:val="both"/>
      </w:pPr>
      <w:r>
        <w:rPr>
          <w:sz w:val="21"/>
        </w:rPr>
        <w:t>5.</w:t>
      </w:r>
      <w:r>
        <w:rPr>
          <w:sz w:val="21"/>
        </w:rPr>
        <w:t>其它违约责任按《中华人民共和国民法典》处理。</w:t>
      </w:r>
    </w:p>
    <w:p>
      <w:r>
        <w:rPr>
          <w:b/>
          <w:color w:val="000000"/>
          <w:sz w:val="21"/>
        </w:rPr>
        <w:t>九、</w:t>
      </w:r>
      <w:r>
        <w:rPr>
          <w:b/>
          <w:color w:val="000000"/>
          <w:sz w:val="21"/>
        </w:rPr>
        <w:t>提出异议的时间和方法</w:t>
      </w:r>
    </w:p>
    <w:p>
      <w:r>
        <w:rPr>
          <w:color w:val="000000"/>
          <w:sz w:val="21"/>
        </w:rPr>
        <w:t>1.</w:t>
      </w:r>
      <w:r>
        <w:rPr>
          <w:color w:val="000000"/>
          <w:sz w:val="21"/>
        </w:rPr>
        <w:t>甲方</w:t>
      </w:r>
      <w:r>
        <w:rPr>
          <w:color w:val="000000"/>
          <w:sz w:val="21"/>
        </w:rPr>
        <w:t>或丙方</w:t>
      </w:r>
      <w:r>
        <w:rPr>
          <w:color w:val="000000"/>
          <w:sz w:val="21"/>
        </w:rPr>
        <w:t>有异议时，应</w:t>
      </w:r>
      <w:r>
        <w:rPr>
          <w:u w:val="single"/>
        </w:rPr>
        <w:t xml:space="preserve">     </w:t>
      </w:r>
      <w:r>
        <w:rPr>
          <w:color w:val="000000"/>
          <w:sz w:val="21"/>
        </w:rPr>
        <w:t>天内向乙方提出书面异议。</w:t>
      </w:r>
    </w:p>
    <w:p>
      <w:r>
        <w:rPr>
          <w:color w:val="000000"/>
          <w:sz w:val="21"/>
        </w:rPr>
        <w:t>2.</w:t>
      </w:r>
      <w:r>
        <w:rPr>
          <w:color w:val="000000"/>
          <w:sz w:val="21"/>
        </w:rPr>
        <w:t>乙方在接到甲方</w:t>
      </w:r>
      <w:r>
        <w:rPr>
          <w:color w:val="000000"/>
          <w:sz w:val="21"/>
        </w:rPr>
        <w:t>或丙方</w:t>
      </w:r>
      <w:r>
        <w:rPr>
          <w:color w:val="000000"/>
          <w:sz w:val="21"/>
        </w:rPr>
        <w:t>书面异议后，应在</w:t>
      </w:r>
      <w:r>
        <w:rPr>
          <w:color w:val="000000"/>
          <w:sz w:val="21"/>
        </w:rPr>
        <w:t>3天内负责处理并函复甲方</w:t>
      </w:r>
      <w:r>
        <w:rPr>
          <w:color w:val="000000"/>
          <w:sz w:val="21"/>
        </w:rPr>
        <w:t>或丙方</w:t>
      </w:r>
      <w:r>
        <w:rPr>
          <w:color w:val="000000"/>
          <w:sz w:val="21"/>
        </w:rPr>
        <w:t>处理情况，否则，即视为默认甲方</w:t>
      </w:r>
      <w:r>
        <w:rPr>
          <w:color w:val="000000"/>
          <w:sz w:val="21"/>
        </w:rPr>
        <w:t>或丙方</w:t>
      </w:r>
      <w:r>
        <w:rPr>
          <w:color w:val="000000"/>
          <w:sz w:val="21"/>
        </w:rPr>
        <w:t>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w:t>
      </w:r>
      <w:r>
        <w:rPr>
          <w:color w:val="000000"/>
          <w:sz w:val="21"/>
        </w:rPr>
        <w:t>或丙方</w:t>
      </w:r>
      <w:r>
        <w:rPr>
          <w:color w:val="000000"/>
          <w:sz w:val="21"/>
        </w:rPr>
        <w:t>的合法权益，甲方</w:t>
      </w:r>
      <w:r>
        <w:rPr>
          <w:color w:val="000000"/>
          <w:sz w:val="21"/>
        </w:rPr>
        <w:t>或丙方</w:t>
      </w:r>
      <w:r>
        <w:rPr>
          <w:color w:val="000000"/>
          <w:sz w:val="21"/>
        </w:rPr>
        <w:t>在任何时候均可追究乙方的违约责任并索取赔偿，且不受验收程序、服务期和合同时效的限制。</w:t>
      </w:r>
    </w:p>
    <w:p>
      <w:r>
        <w:rPr>
          <w:b/>
          <w:color w:val="000000"/>
          <w:sz w:val="21"/>
        </w:rPr>
        <w:t>十、</w:t>
      </w:r>
      <w:r>
        <w:rPr>
          <w:b/>
          <w:color w:val="000000"/>
          <w:sz w:val="21"/>
        </w:rPr>
        <w:t>争议的解决</w:t>
      </w:r>
    </w:p>
    <w:p>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十一、</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十二、</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十三、</w:t>
      </w:r>
      <w:r>
        <w:rPr>
          <w:b/>
          <w:color w:val="000000"/>
          <w:sz w:val="21"/>
        </w:rPr>
        <w:t>合同生效与合同备案：</w:t>
      </w:r>
    </w:p>
    <w:p>
      <w:r>
        <w:rPr>
          <w:color w:val="000000"/>
          <w:sz w:val="21"/>
        </w:rPr>
        <w:t>1.</w:t>
      </w:r>
      <w:r>
        <w:rPr>
          <w:color w:val="000000"/>
          <w:sz w:val="21"/>
        </w:rPr>
        <w:t>本合同在甲</w:t>
      </w:r>
      <w:r>
        <w:rPr>
          <w:color w:val="000000"/>
          <w:sz w:val="21"/>
        </w:rPr>
        <w:t>、</w:t>
      </w:r>
      <w:r>
        <w:rPr>
          <w:color w:val="000000"/>
          <w:sz w:val="21"/>
        </w:rPr>
        <w:t>乙</w:t>
      </w:r>
      <w:r>
        <w:rPr>
          <w:color w:val="000000"/>
          <w:sz w:val="21"/>
        </w:rPr>
        <w:t>、</w:t>
      </w:r>
      <w:r>
        <w:rPr>
          <w:color w:val="000000"/>
          <w:sz w:val="21"/>
        </w:rPr>
        <w:t>丙三</w:t>
      </w:r>
      <w:r>
        <w:rPr>
          <w:color w:val="000000"/>
          <w:sz w:val="21"/>
        </w:rPr>
        <w:t>方法人代表或其授权代表签字盖章后生效。</w:t>
      </w:r>
    </w:p>
    <w:p>
      <w:r>
        <w:rPr>
          <w:color w:val="000000"/>
          <w:sz w:val="21"/>
        </w:rPr>
        <w:t>2.</w:t>
      </w:r>
      <w:r>
        <w:rPr>
          <w:color w:val="000000"/>
          <w:sz w:val="21"/>
        </w:rPr>
        <w:t>自采购合同签订之日起</w:t>
      </w:r>
      <w:r>
        <w:rPr>
          <w:color w:val="000000"/>
          <w:sz w:val="21"/>
        </w:rPr>
        <w:t>7个工作日内，由甲方按照有关规定将采购合同副本报同级人民政府财政部门（政府采购管理部门）备案。</w:t>
      </w:r>
    </w:p>
    <w:p>
      <w:r>
        <w:rPr>
          <w:b/>
          <w:color w:val="000000"/>
          <w:sz w:val="21"/>
        </w:rPr>
        <w:t>十四、</w:t>
      </w:r>
      <w:r>
        <w:rPr>
          <w:b/>
          <w:color w:val="000000"/>
          <w:sz w:val="21"/>
        </w:rPr>
        <w:t>乙方应提供的资料内容</w:t>
      </w:r>
    </w:p>
    <w:p>
      <w:r>
        <w:rPr>
          <w:u w:val="single"/>
        </w:rPr>
        <w:t xml:space="preserve">                                                            </w:t>
      </w:r>
      <w:r>
        <w:rPr>
          <w:color w:val="000000"/>
          <w:sz w:val="21"/>
        </w:rPr>
        <w:t>。</w:t>
      </w:r>
    </w:p>
    <w:p>
      <w:r>
        <w:rPr>
          <w:b/>
          <w:color w:val="000000"/>
          <w:sz w:val="21"/>
        </w:rPr>
        <w:t>十五、</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十六、</w:t>
      </w:r>
      <w:r>
        <w:rPr>
          <w:b/>
          <w:color w:val="000000"/>
          <w:sz w:val="21"/>
        </w:rPr>
        <w:t>其它</w:t>
      </w:r>
    </w:p>
    <w:p>
      <w:r>
        <w:rPr>
          <w:color w:val="000000"/>
          <w:sz w:val="21"/>
        </w:rPr>
        <w:t>1.</w:t>
      </w:r>
      <w:r>
        <w:rPr>
          <w:color w:val="000000"/>
          <w:sz w:val="21"/>
        </w:rPr>
        <w:t>所有经一方或双方签署确认的文件（包括会议纪要、补充协议、往来信函）、采购文件、要约文件和响应承诺文件、合同附件及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w:t>
      </w:r>
      <w:r>
        <w:rPr>
          <w:color w:val="000000"/>
          <w:sz w:val="21"/>
        </w:rPr>
        <w:t>其他两</w:t>
      </w:r>
      <w:r>
        <w:rPr>
          <w:color w:val="000000"/>
          <w:sz w:val="21"/>
        </w:rPr>
        <w:t>方联系人或负责人，否则，因此造成的损失由未履行通知义务方承担相应责任。</w:t>
      </w:r>
    </w:p>
    <w:p>
      <w:r>
        <w:rPr>
          <w:color w:val="000000"/>
          <w:sz w:val="21"/>
        </w:rPr>
        <w:t>3.</w:t>
      </w:r>
      <w:r>
        <w:rPr>
          <w:color w:val="000000"/>
          <w:sz w:val="21"/>
        </w:rPr>
        <w:t>未经甲方</w:t>
      </w:r>
      <w:r>
        <w:rPr>
          <w:color w:val="000000"/>
          <w:sz w:val="21"/>
        </w:rPr>
        <w:t>或丙方</w:t>
      </w:r>
      <w:r>
        <w:rPr>
          <w:color w:val="000000"/>
          <w:sz w:val="21"/>
        </w:rPr>
        <w:t>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r>
              <w:rPr>
                <w:b/>
                <w:color w:val="000000"/>
                <w:sz w:val="21"/>
              </w:rPr>
              <w:t>丙</w:t>
            </w:r>
            <w:r>
              <w:rPr>
                <w:b/>
                <w:color w:val="000000"/>
                <w:sz w:val="21"/>
              </w:rPr>
              <w:t>方（盖章）：</w:t>
            </w:r>
          </w:p>
          <w:p>
            <w:r>
              <w:rPr>
                <w:color w:val="000000"/>
                <w:sz w:val="21"/>
              </w:rPr>
              <w:t>代表：</w:t>
            </w:r>
          </w:p>
          <w:p>
            <w:r>
              <w:rPr>
                <w:color w:val="000000"/>
                <w:sz w:val="21"/>
              </w:rPr>
              <w:t>地址：</w:t>
            </w:r>
          </w:p>
          <w:p/>
          <w:p>
            <w:r>
              <w:rPr>
                <w:color w:val="000000"/>
                <w:sz w:val="21"/>
              </w:rPr>
              <w:t>电话：</w:t>
            </w:r>
          </w:p>
          <w:p/>
          <w:p>
            <w:r>
              <w:rPr>
                <w:color w:val="000000"/>
                <w:sz w:val="21"/>
              </w:rPr>
              <w:t>传真：</w:t>
            </w: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r>
        <w:rPr>
          <w:b/>
          <w:color w:val="000000"/>
          <w:sz w:val="24"/>
        </w:rPr>
        <w:t>附件：《禅城区肢体残疾人居家康复服务采购质量季度考核表》</w:t>
      </w:r>
    </w:p>
    <w:p>
      <w:pPr>
        <w:jc w:val="center"/>
      </w:pPr>
      <w:r>
        <w:rPr>
          <w:b/>
          <w:color w:val="000000"/>
          <w:sz w:val="24"/>
        </w:rPr>
        <w:t>禅城区肢体残疾人居家康复服务采购质量季度考核表</w:t>
      </w:r>
    </w:p>
    <w:tbl>
      <w:tblPr>
        <w:tblW w:w="0" w:type="auto"/>
        <w:tblBorders>
          <w:top w:val="none" w:color="000000" w:sz="4"/>
          <w:left w:val="none" w:color="000000" w:sz="4"/>
          <w:bottom w:val="none" w:color="000000" w:sz="4"/>
          <w:right w:val="none" w:color="000000" w:sz="4"/>
          <w:insideH w:val="none"/>
          <w:insideV w:val="none"/>
        </w:tblBorders>
      </w:tblPr>
      <w:tblGrid>
        <w:gridCol w:w="588"/>
        <w:gridCol w:w="779"/>
        <w:gridCol w:w="2791"/>
        <w:gridCol w:w="3516"/>
        <w:gridCol w:w="574"/>
      </w:tblGrid>
      <w:tr>
        <w:tc>
          <w:tcPr>
            <w:tcW w:type="dxa" w:w="588"/>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779"/>
            <w:tcBorders>
              <w:top w:val="single" w:color="000000" w:sz="4"/>
              <w:left w:val="single" w:color="000000" w:sz="4"/>
              <w:bottom w:val="single" w:color="000000" w:sz="4"/>
              <w:right w:val="single" w:color="000000" w:sz="4"/>
            </w:tcBorders>
            <w:vAlign w:val="top"/>
          </w:tcPr>
          <w:p>
            <w:pPr>
              <w:jc w:val="center"/>
            </w:pPr>
            <w:r>
              <w:rPr>
                <w:b/>
                <w:sz w:val="18"/>
              </w:rPr>
              <w:t>评审</w:t>
            </w:r>
          </w:p>
        </w:tc>
        <w:tc>
          <w:tcPr>
            <w:tcW w:type="dxa" w:w="2791"/>
            <w:tcBorders>
              <w:top w:val="single" w:color="000000" w:sz="4"/>
              <w:left w:val="single" w:color="000000" w:sz="4"/>
              <w:bottom w:val="single" w:color="000000" w:sz="4"/>
              <w:right w:val="single" w:color="000000" w:sz="4"/>
            </w:tcBorders>
            <w:vAlign w:val="top"/>
          </w:tcPr>
          <w:p>
            <w:pPr>
              <w:jc w:val="center"/>
            </w:pPr>
            <w:r>
              <w:rPr>
                <w:b/>
                <w:sz w:val="18"/>
              </w:rPr>
              <w:t>评审内容</w:t>
            </w:r>
          </w:p>
        </w:tc>
        <w:tc>
          <w:tcPr>
            <w:tcW w:type="dxa" w:w="3516"/>
            <w:tcBorders>
              <w:top w:val="single" w:color="000000" w:sz="4"/>
              <w:left w:val="single" w:color="000000" w:sz="4"/>
              <w:bottom w:val="single" w:color="000000" w:sz="4"/>
              <w:right w:val="single" w:color="000000" w:sz="4"/>
            </w:tcBorders>
            <w:vAlign w:val="top"/>
          </w:tcPr>
          <w:p>
            <w:pPr>
              <w:jc w:val="center"/>
            </w:pPr>
            <w:r>
              <w:rPr>
                <w:b/>
                <w:sz w:val="18"/>
              </w:rPr>
              <w:t>操作办法</w:t>
            </w:r>
          </w:p>
        </w:tc>
        <w:tc>
          <w:tcPr>
            <w:tcW w:type="dxa" w:w="574"/>
            <w:tcBorders>
              <w:top w:val="single" w:color="000000" w:sz="4"/>
              <w:left w:val="single" w:color="000000" w:sz="4"/>
              <w:bottom w:val="single" w:color="000000" w:sz="4"/>
              <w:right w:val="single" w:color="000000" w:sz="4"/>
            </w:tcBorders>
            <w:vAlign w:val="top"/>
          </w:tcPr>
          <w:p>
            <w:pPr>
              <w:jc w:val="center"/>
            </w:pPr>
            <w:r>
              <w:rPr>
                <w:b/>
                <w:sz w:val="18"/>
              </w:rPr>
              <w:t>分值</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79"/>
            <w:vMerge w:val="restart"/>
            <w:tcBorders>
              <w:top w:val="none" w:color="000000" w:sz="4"/>
              <w:left w:val="single" w:color="000000" w:sz="4"/>
              <w:bottom w:val="single" w:color="000000" w:sz="4"/>
              <w:right w:val="single" w:color="000000" w:sz="4"/>
            </w:tcBorders>
            <w:vAlign w:val="top"/>
          </w:tcPr>
          <w:p>
            <w:pPr>
              <w:jc w:val="left"/>
            </w:pPr>
            <w:r>
              <w:rPr>
                <w:sz w:val="18"/>
              </w:rPr>
              <w:t>人员管理</w:t>
            </w:r>
          </w:p>
          <w:p>
            <w:pPr>
              <w:jc w:val="left"/>
            </w:pPr>
            <w:r>
              <w:rPr>
                <w:sz w:val="18"/>
              </w:rPr>
              <w:t>（</w:t>
            </w:r>
            <w:r>
              <w:rPr>
                <w:sz w:val="18"/>
              </w:rPr>
              <w:t>15分）</w:t>
            </w:r>
          </w:p>
        </w:tc>
        <w:tc>
          <w:tcPr>
            <w:tcW w:type="dxa" w:w="2791"/>
            <w:tcBorders>
              <w:top w:val="none" w:color="000000" w:sz="4"/>
              <w:left w:val="single" w:color="000000" w:sz="4"/>
              <w:bottom w:val="single" w:color="000000" w:sz="4"/>
              <w:right w:val="single" w:color="000000" w:sz="4"/>
            </w:tcBorders>
            <w:vAlign w:val="top"/>
          </w:tcPr>
          <w:p>
            <w:pPr>
              <w:jc w:val="left"/>
            </w:pPr>
            <w:r>
              <w:rPr>
                <w:sz w:val="18"/>
              </w:rPr>
              <w:t>项目人员需持相关专业的资质证书上岗，且人数保持充足，以确保康复服务正常运作；项目人员发生调整时需至少提前</w:t>
            </w:r>
            <w:r>
              <w:rPr>
                <w:sz w:val="18"/>
              </w:rPr>
              <w:t>15天以书面形式通知区佛山市禅城区残疾人联合会。</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资料分析：服务合同、项目人员花名册、项目人员调整明细表、劳动合同、工资发放表、社保记录、资质证书、康复服务记录等。</w:t>
            </w:r>
          </w:p>
          <w:p>
            <w:pPr>
              <w:jc w:val="left"/>
            </w:pPr>
            <w:r>
              <w:rPr>
                <w:b/>
                <w:sz w:val="18"/>
              </w:rPr>
              <w:t>按要求提供以上佐证材料，每缺一项材料，或者提供的资料不符合规定，扣</w:t>
            </w:r>
            <w:r>
              <w:rPr>
                <w:b/>
                <w:sz w:val="18"/>
              </w:rPr>
              <w:t>1分；缺乏四项或以上的材料，本条不得分。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项目团队组织结构健全，分工明细，调配合理，岗位职责明确。</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资料分析：岗位职责说明等。</w:t>
            </w:r>
          </w:p>
          <w:p>
            <w:pPr>
              <w:jc w:val="left"/>
            </w:pPr>
            <w:r>
              <w:rPr>
                <w:b/>
                <w:sz w:val="18"/>
              </w:rPr>
              <w:t>项目团队有设立专职管理人员、组织结构健全，得</w:t>
            </w:r>
            <w:r>
              <w:rPr>
                <w:b/>
                <w:sz w:val="18"/>
              </w:rPr>
              <w:t>1.5分；有明确的人员架构和岗位职责说明，得1.5分。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对项目人员在岗业务培训学习每月不少于</w:t>
            </w:r>
            <w:r>
              <w:rPr>
                <w:sz w:val="18"/>
              </w:rPr>
              <w:t>1次。培训内容需与项目工作内容匹配、结合项目实际情况，可适当融入党建工作、残联政策等内容。</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资料分析：学习培训制度、培训内容记录、项目情况相关资料等。</w:t>
            </w:r>
          </w:p>
          <w:p>
            <w:pPr>
              <w:jc w:val="left"/>
            </w:pPr>
            <w:r>
              <w:rPr>
                <w:b/>
                <w:sz w:val="18"/>
              </w:rPr>
              <w:t>具有针对本项目的学习培训制度，得</w:t>
            </w:r>
            <w:r>
              <w:rPr>
                <w:b/>
                <w:sz w:val="18"/>
              </w:rPr>
              <w:t>1分；具有完整的培训内容记录，得3分。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58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79"/>
            <w:tcBorders>
              <w:top w:val="none" w:color="000000" w:sz="4"/>
              <w:left w:val="single" w:color="000000" w:sz="4"/>
              <w:bottom w:val="single" w:color="000000" w:sz="4"/>
              <w:right w:val="single" w:color="000000" w:sz="4"/>
            </w:tcBorders>
            <w:vAlign w:val="top"/>
          </w:tcPr>
          <w:p>
            <w:pPr>
              <w:jc w:val="left"/>
            </w:pPr>
            <w:r>
              <w:rPr>
                <w:sz w:val="18"/>
              </w:rPr>
              <w:t>制度管理</w:t>
            </w:r>
          </w:p>
          <w:p>
            <w:pPr>
              <w:jc w:val="left"/>
            </w:pPr>
            <w:r>
              <w:rPr>
                <w:sz w:val="18"/>
              </w:rPr>
              <w:t>（</w:t>
            </w:r>
            <w:r>
              <w:rPr>
                <w:sz w:val="18"/>
              </w:rPr>
              <w:t>5分）</w:t>
            </w:r>
          </w:p>
        </w:tc>
        <w:tc>
          <w:tcPr>
            <w:tcW w:type="dxa" w:w="2791"/>
            <w:tcBorders>
              <w:top w:val="none" w:color="000000" w:sz="4"/>
              <w:left w:val="single" w:color="000000" w:sz="4"/>
              <w:bottom w:val="single" w:color="000000" w:sz="4"/>
              <w:right w:val="single" w:color="000000" w:sz="4"/>
            </w:tcBorders>
            <w:vAlign w:val="top"/>
          </w:tcPr>
          <w:p>
            <w:pPr>
              <w:jc w:val="left"/>
            </w:pPr>
            <w:r>
              <w:rPr>
                <w:sz w:val="18"/>
              </w:rPr>
              <w:t>建立和健全服务质量管理制度、人员问责和奖惩制度、项目应急预案、项目结算资料管理监督机制、残疾人功能恢复评定机制、康复训练常规和技术操作流程、服务对象权益保障制度等，并落实执行。</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资料分析：服务质量管理制度、问责奖惩制度、项目风险评估报告，项目风险应急预案、残疾人功能恢复评定机制、康复训练常规和技术操作流程、服务对象权益保障制度等；</w:t>
            </w:r>
            <w:r>
              <w:br/>
            </w:r>
            <w:r>
              <w:rPr>
                <w:sz w:val="18"/>
              </w:rPr>
              <w:t>个别访谈：员工、服务对象。</w:t>
            </w:r>
          </w:p>
          <w:p>
            <w:pPr>
              <w:jc w:val="left"/>
            </w:pPr>
            <w:r>
              <w:rPr>
                <w:b/>
                <w:sz w:val="18"/>
              </w:rPr>
              <w:t>按要求提供相应的制度文本、资料，并了解各项制度落实执行情况，视执行情况酌情评分。</w:t>
            </w:r>
          </w:p>
          <w:p>
            <w:pPr>
              <w:jc w:val="left"/>
            </w:pPr>
            <w:r>
              <w:rPr>
                <w:b/>
                <w:sz w:val="18"/>
              </w:rPr>
              <w:t>每缺一项材料，或者提供的资料不符合项目规定，扣</w:t>
            </w:r>
            <w:r>
              <w:rPr>
                <w:b/>
                <w:sz w:val="18"/>
              </w:rPr>
              <w:t>1分；缺乏四项或以上的材料，本条不得分。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5</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79"/>
            <w:vMerge w:val="restart"/>
            <w:tcBorders>
              <w:top w:val="none" w:color="000000" w:sz="4"/>
              <w:left w:val="single" w:color="000000" w:sz="4"/>
              <w:bottom w:val="single" w:color="000000" w:sz="4"/>
              <w:right w:val="single" w:color="000000" w:sz="4"/>
            </w:tcBorders>
            <w:vAlign w:val="top"/>
          </w:tcPr>
          <w:p>
            <w:pPr>
              <w:jc w:val="left"/>
            </w:pPr>
            <w:r>
              <w:rPr>
                <w:sz w:val="18"/>
              </w:rPr>
              <w:t>服务管理</w:t>
            </w:r>
          </w:p>
          <w:p>
            <w:pPr>
              <w:jc w:val="left"/>
            </w:pPr>
            <w:r>
              <w:rPr>
                <w:sz w:val="18"/>
              </w:rPr>
              <w:t>（</w:t>
            </w:r>
            <w:r>
              <w:rPr>
                <w:sz w:val="18"/>
              </w:rPr>
              <w:t>30分）</w:t>
            </w:r>
          </w:p>
        </w:tc>
        <w:tc>
          <w:tcPr>
            <w:tcW w:type="dxa" w:w="2791"/>
            <w:tcBorders>
              <w:top w:val="none" w:color="000000" w:sz="4"/>
              <w:left w:val="single" w:color="000000" w:sz="4"/>
              <w:bottom w:val="single" w:color="000000" w:sz="4"/>
              <w:right w:val="single" w:color="000000" w:sz="4"/>
            </w:tcBorders>
            <w:vAlign w:val="top"/>
          </w:tcPr>
          <w:p>
            <w:pPr>
              <w:jc w:val="left"/>
            </w:pPr>
            <w:r>
              <w:rPr>
                <w:sz w:val="18"/>
              </w:rPr>
              <w:t>按照服务质量管理制度，项目团队关于优化项目管理的交流会议每月不少于一次，相关内容及时与购买方沟通。</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资料分析：服务质量管理制度、沟通会议记录、后续执行等相关痕迹资料；</w:t>
            </w:r>
          </w:p>
          <w:p>
            <w:pPr>
              <w:jc w:val="left"/>
            </w:pPr>
            <w:r>
              <w:rPr>
                <w:sz w:val="18"/>
              </w:rPr>
              <w:t>个别访谈</w:t>
            </w:r>
            <w:r>
              <w:rPr>
                <w:sz w:val="18"/>
              </w:rPr>
              <w:t>:工作人员。</w:t>
            </w:r>
          </w:p>
          <w:p>
            <w:pPr>
              <w:jc w:val="left"/>
            </w:pPr>
            <w:r>
              <w:rPr>
                <w:b/>
                <w:sz w:val="18"/>
              </w:rPr>
              <w:t>建立服务质量管理制度并有相关的制度执行记录，每月开展不少于一次的交流会议，并有完整的沟通会议记录，得</w:t>
            </w:r>
            <w:r>
              <w:rPr>
                <w:b/>
                <w:sz w:val="18"/>
              </w:rPr>
              <w:t>2分；有相关的后续跟进记录，得2分。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服务套表的记录内容必须做到严谨规范、原始真实、全面清晰，不得随意涂改，团队内部设立专人管理、监督，根据项目情况的变化持续更新、及时纠正。</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资料查阅：服务对象花名册、功能恢复评定记录、康复训练档案、康复服务记录表、服务情况统计表等。</w:t>
            </w:r>
          </w:p>
          <w:p>
            <w:pPr>
              <w:jc w:val="left"/>
            </w:pPr>
            <w:r>
              <w:rPr>
                <w:b/>
                <w:sz w:val="18"/>
              </w:rPr>
              <w:t>按要求提供相关的服务材料，缺一项扣</w:t>
            </w:r>
            <w:r>
              <w:rPr>
                <w:b/>
                <w:sz w:val="18"/>
              </w:rPr>
              <w:t>1分；如出现分类不清晰，归档不及时或服务数据呈现不清晰，服务档案不完整、涂改等，酌情扣分；康复服务记录表、服务情况统计表如有造假，本条不得分。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康复训练设施、设备、包括康复评估设备和康复训练器材齐全，并能根据需求维护或更新。</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资料查阅、现场查阅、工作人员访谈。</w:t>
            </w:r>
          </w:p>
          <w:p>
            <w:pPr>
              <w:jc w:val="left"/>
            </w:pPr>
            <w:r>
              <w:rPr>
                <w:b/>
                <w:sz w:val="18"/>
              </w:rPr>
              <w:t>设备齐全，得</w:t>
            </w:r>
            <w:r>
              <w:rPr>
                <w:b/>
                <w:sz w:val="18"/>
              </w:rPr>
              <w:t>1.5分；有相应的维护或更新记录，得1.5分。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按照项目评估时限提交相关服务资料，项目评估结果以及实际服务情况统计表作为结算依据（服务资料不得造假，如发现造假，将一次性扣除</w:t>
            </w:r>
            <w:r>
              <w:rPr>
                <w:sz w:val="18"/>
              </w:rPr>
              <w:t>15分。）</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资料分析：康复服务记录表、服务情况统计表等。</w:t>
            </w:r>
          </w:p>
          <w:p>
            <w:pPr>
              <w:jc w:val="left"/>
            </w:pPr>
            <w:r>
              <w:rPr>
                <w:b/>
                <w:sz w:val="18"/>
              </w:rPr>
              <w:t>未按要求提供真实有效的服务资料或发现资料造假，本条不得分。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15</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79"/>
            <w:vMerge w:val="restart"/>
            <w:tcBorders>
              <w:top w:val="none" w:color="000000" w:sz="4"/>
              <w:left w:val="single" w:color="000000" w:sz="4"/>
              <w:bottom w:val="single" w:color="000000" w:sz="4"/>
              <w:right w:val="single" w:color="000000" w:sz="4"/>
            </w:tcBorders>
            <w:vAlign w:val="top"/>
          </w:tcPr>
          <w:p>
            <w:pPr>
              <w:jc w:val="left"/>
            </w:pPr>
            <w:r>
              <w:rPr>
                <w:sz w:val="18"/>
              </w:rPr>
              <w:t>服务执行</w:t>
            </w:r>
          </w:p>
          <w:p>
            <w:pPr>
              <w:jc w:val="left"/>
            </w:pPr>
            <w:r>
              <w:rPr>
                <w:sz w:val="18"/>
              </w:rPr>
              <w:t>（</w:t>
            </w:r>
            <w:r>
              <w:rPr>
                <w:sz w:val="18"/>
              </w:rPr>
              <w:t>25分）</w:t>
            </w:r>
          </w:p>
        </w:tc>
        <w:tc>
          <w:tcPr>
            <w:tcW w:type="dxa" w:w="2791"/>
            <w:tcBorders>
              <w:top w:val="none" w:color="000000" w:sz="4"/>
              <w:left w:val="single" w:color="000000" w:sz="4"/>
              <w:bottom w:val="single" w:color="000000" w:sz="4"/>
              <w:right w:val="single" w:color="000000" w:sz="4"/>
            </w:tcBorders>
            <w:vAlign w:val="top"/>
          </w:tcPr>
          <w:p>
            <w:pPr>
              <w:jc w:val="left"/>
            </w:pPr>
            <w:r>
              <w:rPr>
                <w:sz w:val="18"/>
              </w:rPr>
              <w:t>项目人员按照康复训练常规和技术操作流程规范操作。</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资料查阅：康复训练常规和技术操作流程、抽查服务资料记录对应操作流程的规范性。</w:t>
            </w:r>
          </w:p>
          <w:p>
            <w:pPr>
              <w:jc w:val="left"/>
            </w:pPr>
            <w:r>
              <w:rPr>
                <w:b/>
                <w:sz w:val="18"/>
              </w:rPr>
              <w:t>按操作规范程度酌情评分。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每季度对服务对象的康复效果进行评估，并形成完整的评估分析记录及统计分析报告，对康复服务进行分层分类，按需求制定适合服务对象的康复训练计划。</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资料查阅：康复服务评估档案，评估分析记录、统计分析报告、服务对象康复训练计划；</w:t>
            </w:r>
          </w:p>
          <w:p>
            <w:pPr>
              <w:jc w:val="left"/>
            </w:pPr>
            <w:r>
              <w:rPr>
                <w:sz w:val="18"/>
              </w:rPr>
              <w:t>服务对象访谈：康复训练计划的适切性。</w:t>
            </w:r>
          </w:p>
          <w:p>
            <w:pPr>
              <w:jc w:val="left"/>
            </w:pPr>
            <w:r>
              <w:rPr>
                <w:b/>
                <w:sz w:val="18"/>
              </w:rPr>
              <w:t>根据访谈和资料分析酌情评分。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根据中标时的服务实施方案，落实相关服务内容和要求。</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资料查阅、服务对象或家属访谈。</w:t>
            </w:r>
          </w:p>
          <w:p>
            <w:pPr>
              <w:jc w:val="left"/>
            </w:pPr>
            <w:r>
              <w:rPr>
                <w:b/>
                <w:sz w:val="18"/>
              </w:rPr>
              <w:t>根据访谈和资料分析酌情评分。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根据合同规定，每月进行康复训练、康复护理服务不少于</w:t>
            </w:r>
            <w:r>
              <w:rPr>
                <w:sz w:val="18"/>
              </w:rPr>
              <w:t>6次，每次不少于1小时。</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资料查阅：康复训练档案、康复服务记录表、服务情况统计表；</w:t>
            </w:r>
          </w:p>
          <w:p>
            <w:pPr>
              <w:jc w:val="left"/>
            </w:pPr>
            <w:r>
              <w:rPr>
                <w:sz w:val="18"/>
              </w:rPr>
              <w:t>服务对象访谈：康复训练的内容、次数。</w:t>
            </w:r>
          </w:p>
          <w:p>
            <w:pPr>
              <w:jc w:val="left"/>
            </w:pPr>
            <w:r>
              <w:rPr>
                <w:b/>
                <w:sz w:val="18"/>
              </w:rPr>
              <w:t>根据访谈和资料分析，综合评分。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康复知识普及，每季度不少于</w:t>
            </w:r>
            <w:r>
              <w:rPr>
                <w:sz w:val="18"/>
              </w:rPr>
              <w:t>1次。</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资料查阅：康复训练档案等服务资料；</w:t>
            </w:r>
          </w:p>
          <w:p>
            <w:pPr>
              <w:jc w:val="left"/>
            </w:pPr>
            <w:r>
              <w:rPr>
                <w:sz w:val="18"/>
              </w:rPr>
              <w:t>服务对象家属访谈：康复知识普及的内容、频率。</w:t>
            </w:r>
          </w:p>
          <w:p>
            <w:pPr>
              <w:jc w:val="left"/>
            </w:pPr>
            <w:r>
              <w:rPr>
                <w:b/>
                <w:sz w:val="18"/>
              </w:rPr>
              <w:t>根据康复训练资料和访谈的匹配度，综合评分。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79"/>
            <w:vMerge w:val="restart"/>
            <w:tcBorders>
              <w:top w:val="none" w:color="000000" w:sz="4"/>
              <w:left w:val="single" w:color="000000" w:sz="4"/>
              <w:bottom w:val="single" w:color="000000" w:sz="4"/>
              <w:right w:val="single" w:color="000000" w:sz="4"/>
            </w:tcBorders>
            <w:vAlign w:val="top"/>
          </w:tcPr>
          <w:p>
            <w:pPr>
              <w:jc w:val="left"/>
            </w:pPr>
            <w:r>
              <w:rPr>
                <w:sz w:val="18"/>
              </w:rPr>
              <w:t>服务成效</w:t>
            </w:r>
          </w:p>
          <w:p>
            <w:pPr>
              <w:jc w:val="left"/>
            </w:pPr>
            <w:r>
              <w:rPr>
                <w:sz w:val="18"/>
              </w:rPr>
              <w:t>（</w:t>
            </w:r>
            <w:r>
              <w:rPr>
                <w:sz w:val="18"/>
              </w:rPr>
              <w:t>25</w:t>
            </w:r>
            <w:r>
              <w:rPr>
                <w:sz w:val="18"/>
              </w:rPr>
              <w:t>分</w:t>
            </w:r>
            <w:r>
              <w:rPr>
                <w:sz w:val="18"/>
              </w:rPr>
              <w:t>）</w:t>
            </w:r>
          </w:p>
        </w:tc>
        <w:tc>
          <w:tcPr>
            <w:tcW w:type="dxa" w:w="2791"/>
            <w:tcBorders>
              <w:top w:val="none" w:color="000000" w:sz="4"/>
              <w:left w:val="single" w:color="000000" w:sz="4"/>
              <w:bottom w:val="single" w:color="000000" w:sz="4"/>
              <w:right w:val="single" w:color="000000" w:sz="4"/>
            </w:tcBorders>
            <w:vAlign w:val="top"/>
          </w:tcPr>
          <w:p>
            <w:pPr>
              <w:jc w:val="left"/>
            </w:pPr>
            <w:r>
              <w:rPr>
                <w:sz w:val="18"/>
              </w:rPr>
              <w:t>每季度不少于一篇关于居家康复的事迹报道或典型案例。</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资料查阅：相关报道资料等。</w:t>
            </w:r>
          </w:p>
          <w:p>
            <w:pPr>
              <w:jc w:val="left"/>
            </w:pPr>
            <w:r>
              <w:rPr>
                <w:sz w:val="18"/>
              </w:rPr>
              <w:t>有相关报道或案例资料，得</w:t>
            </w:r>
            <w:r>
              <w:rPr>
                <w:sz w:val="18"/>
              </w:rPr>
              <w:t>2分；内容真实具有代表性，得2分。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服务成效统计：服务对象的残疾程度、日常生活自理能力、并发症等发生与消除的统计，数据对比，原因分析。</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资料查阅：相关统计资料，康复训练档案等，服务对象访谈。</w:t>
            </w:r>
          </w:p>
          <w:p>
            <w:pPr>
              <w:jc w:val="left"/>
            </w:pPr>
            <w:r>
              <w:rPr>
                <w:b/>
                <w:sz w:val="18"/>
              </w:rPr>
              <w:t>根据访谈和资料分析，综合评分。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6</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对服务对象维持或改善情况的持续性关注及评估，相应调整康复训练计划并落实。</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资料查阅：康复服务评估档案、康复训练档案；</w:t>
            </w:r>
            <w:r>
              <w:br/>
            </w:r>
            <w:r>
              <w:rPr>
                <w:sz w:val="18"/>
              </w:rPr>
              <w:t>服务对象访谈。</w:t>
            </w:r>
          </w:p>
          <w:p>
            <w:pPr>
              <w:jc w:val="left"/>
            </w:pPr>
            <w:r>
              <w:rPr>
                <w:b/>
                <w:sz w:val="18"/>
              </w:rPr>
              <w:t>根据访谈和资料分析，综合评分。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关注社会影响力的塑造，如链接多方资源，帮助推动更多社会参与或加强社会影响力。</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资料查阅：项目宣传资料等。</w:t>
            </w:r>
          </w:p>
          <w:p>
            <w:pPr>
              <w:jc w:val="left"/>
            </w:pPr>
            <w:r>
              <w:rPr>
                <w:b/>
                <w:sz w:val="18"/>
              </w:rPr>
              <w:t>根据相应的项目宣传材料，资源链接汇总表，新闻报道等材料，酌情评分。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2791"/>
            <w:tcBorders>
              <w:top w:val="none" w:color="000000" w:sz="4"/>
              <w:left w:val="single" w:color="000000" w:sz="4"/>
              <w:bottom w:val="single" w:color="000000" w:sz="4"/>
              <w:right w:val="single" w:color="000000" w:sz="4"/>
            </w:tcBorders>
            <w:vAlign w:val="top"/>
          </w:tcPr>
          <w:p>
            <w:pPr>
              <w:jc w:val="left"/>
            </w:pPr>
            <w:r>
              <w:rPr>
                <w:sz w:val="18"/>
              </w:rPr>
              <w:t>抽查服务对象电访康复服务情况，了解康复机构是否做足服务次数和时数，是否有康复指引和存在意见。</w:t>
            </w:r>
          </w:p>
        </w:tc>
        <w:tc>
          <w:tcPr>
            <w:tcW w:type="dxa" w:w="3516"/>
            <w:tcBorders>
              <w:top w:val="none" w:color="000000" w:sz="4"/>
              <w:left w:val="single" w:color="000000" w:sz="4"/>
              <w:bottom w:val="single" w:color="000000" w:sz="4"/>
              <w:right w:val="single" w:color="000000" w:sz="4"/>
            </w:tcBorders>
            <w:vAlign w:val="top"/>
          </w:tcPr>
          <w:p>
            <w:pPr>
              <w:jc w:val="left"/>
            </w:pPr>
            <w:r>
              <w:rPr>
                <w:sz w:val="18"/>
              </w:rPr>
              <w:t>资料查阅：服务对象访谈（每次评估抽取</w:t>
            </w:r>
            <w:r>
              <w:rPr>
                <w:sz w:val="18"/>
              </w:rPr>
              <w:t>20%的服务对象，不重复抽取）。</w:t>
            </w:r>
          </w:p>
          <w:p>
            <w:pPr>
              <w:jc w:val="left"/>
            </w:pPr>
            <w:r>
              <w:rPr>
                <w:b/>
                <w:sz w:val="18"/>
              </w:rPr>
              <w:t>根据访谈结果酌情评分。</w:t>
            </w:r>
          </w:p>
        </w:tc>
        <w:tc>
          <w:tcPr>
            <w:tcW w:type="dxa" w:w="574"/>
            <w:tcBorders>
              <w:top w:val="none" w:color="000000" w:sz="4"/>
              <w:left w:val="single" w:color="000000" w:sz="4"/>
              <w:bottom w:val="single" w:color="000000" w:sz="4"/>
              <w:right w:val="single" w:color="000000" w:sz="4"/>
            </w:tcBorders>
            <w:vAlign w:val="top"/>
          </w:tcPr>
          <w:p>
            <w:pPr>
              <w:jc w:val="center"/>
            </w:pPr>
            <w:r>
              <w:rPr>
                <w:sz w:val="18"/>
              </w:rPr>
              <w:t>8</w:t>
            </w:r>
          </w:p>
        </w:tc>
      </w:tr>
      <w:tr>
        <w:tc>
          <w:tcPr>
            <w:tcW w:type="dxa" w:w="7674"/>
            <w:gridSpan w:val="4"/>
            <w:tcBorders>
              <w:top w:val="none" w:color="000000" w:sz="4"/>
              <w:left w:val="single" w:color="000000" w:sz="4"/>
              <w:bottom w:val="single" w:color="000000" w:sz="4"/>
              <w:right w:val="single" w:color="000000" w:sz="4"/>
            </w:tcBorders>
            <w:vAlign w:val="top"/>
          </w:tcPr>
          <w:p>
            <w:pPr>
              <w:jc w:val="center"/>
            </w:pPr>
            <w:r>
              <w:rPr>
                <w:sz w:val="18"/>
              </w:rPr>
              <w:t>总得分</w:t>
            </w:r>
          </w:p>
        </w:tc>
        <w:tc>
          <w:tcPr>
            <w:tcW w:type="dxa" w:w="574"/>
            <w:tcBorders>
              <w:top w:val="none" w:color="000000" w:sz="4"/>
              <w:left w:val="single" w:color="000000" w:sz="4"/>
              <w:bottom w:val="single" w:color="000000" w:sz="4"/>
              <w:right w:val="single" w:color="000000" w:sz="4"/>
            </w:tcBorders>
            <w:vAlign w:val="top"/>
          </w:tcPr>
          <w:p>
            <w:pPr>
              <w:jc w:val="center"/>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440604-2023-02548</w:t>
      </w:r>
    </w:p>
    <w:p>
      <w:pPr>
        <w:jc w:val="center"/>
      </w:pPr>
      <w:r>
        <w:rPr>
          <w:b/>
          <w:sz w:val="24"/>
        </w:rPr>
        <w:t>采购项目编号：</w:t>
      </w:r>
      <w:r>
        <w:rPr>
          <w:b/>
          <w:sz w:val="24"/>
        </w:rPr>
        <w:t>XY0123051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禅城区肢体残疾人居家康复服务采购</w:t>
      </w:r>
      <w:r>
        <w:rPr>
          <w:u w:val="single"/>
        </w:rPr>
        <w:t>”</w:t>
      </w:r>
      <w:r>
        <w:rPr/>
        <w:t>项目的招标[采购项目编号为：</w:t>
      </w:r>
      <w:r>
        <w:rPr>
          <w:u w:val="single"/>
        </w:rPr>
        <w:t>XY0123051</w:t>
      </w:r>
      <w:r>
        <w:rPr/>
        <w:t>]，我方愿参与投标。</w:t>
      </w:r>
    </w:p>
    <w:p>
      <w:pPr>
        <w:ind w:firstLine="480"/>
      </w:pPr>
      <w:r>
        <w:rPr/>
        <w:t>我方确认收到贵方提供的</w:t>
      </w:r>
      <w:r>
        <w:rPr>
          <w:u w:val="single"/>
        </w:rPr>
        <w:t>“</w:t>
      </w:r>
      <w:r>
        <w:rPr>
          <w:u w:val="single"/>
        </w:rPr>
        <w:t>禅城区肢体残疾人居家康复服务采购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禅城区肢体残疾人居家康复服务采购</w:t>
      </w:r>
      <w:r>
        <w:rPr/>
        <w:t>”项目采购[采购项目编号为</w:t>
      </w:r>
      <w:r>
        <w:rPr/>
        <w:t>XY0123051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禅城区肢体残疾人居家康复服务采购</w:t>
      </w:r>
      <w:r>
        <w:rPr/>
        <w:t>招标中获中标（采购项目编号：</w:t>
      </w:r>
      <w:r>
        <w:rPr/>
        <w:t>XY0123051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禅城区肢体残疾人居家康复服务采购</w:t>
      </w:r>
      <w:r>
        <w:rPr/>
        <w:t>”项目（采购项目编号：</w:t>
      </w:r>
      <w:r>
        <w:rPr/>
        <w:t>XY0123051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