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440604-2022-03678</w:t>
      </w:r>
    </w:p>
    <w:p>
      <w:pPr>
        <w:jc w:val="center"/>
      </w:pPr>
      <w:r>
        <w:rPr>
          <w:b/>
          <w:sz w:val="24"/>
        </w:rPr>
        <w:t>采购项目编号：</w:t>
      </w:r>
      <w:r>
        <w:rPr>
          <w:b/>
          <w:sz w:val="24"/>
        </w:rPr>
        <w:t>XY0122071</w:t>
      </w:r>
    </w:p>
    <w:p>
      <w:pPr>
        <w:jc w:val="center"/>
      </w:pPr>
      <w:r>
        <w:rPr>
          <w:b/>
          <w:sz w:val="24"/>
        </w:rPr>
        <w:t>项目名称：</w:t>
      </w:r>
      <w:r>
        <w:rPr>
          <w:b/>
          <w:sz w:val="24"/>
        </w:rPr>
        <w:t>佛山地铁2号线禅城区段外围视频监控建设项目</w:t>
      </w:r>
    </w:p>
    <w:p>
      <w:pPr>
        <w:jc w:val="center"/>
      </w:pPr>
      <w:r>
        <w:rPr>
          <w:b/>
          <w:sz w:val="24"/>
        </w:rPr>
        <w:t>采购人：</w:t>
      </w:r>
      <w:r>
        <w:rPr>
          <w:b/>
          <w:sz w:val="24"/>
        </w:rPr>
        <w:t>佛山市公安局禅城分局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佛山市公安局禅城分局</w:t>
      </w:r>
      <w:r>
        <w:rPr/>
        <w:t>的委托，采用</w:t>
      </w:r>
      <w:r>
        <w:rPr/>
        <w:t>竞争性磋商</w:t>
      </w:r>
      <w:r>
        <w:rPr/>
        <w:t>方式组织采购</w:t>
      </w:r>
      <w:r>
        <w:rPr/>
        <w:t>佛山地铁2号线禅城区段外围视频监控建设项目</w:t>
      </w:r>
      <w:r>
        <w:rPr/>
        <w:t>。欢迎符合资格条件的供应商参加。</w:t>
      </w:r>
    </w:p>
    <w:p>
      <w:r>
        <w:rPr>
          <w:b/>
          <w:sz w:val="28"/>
        </w:rPr>
        <w:t>一.项目概述</w:t>
      </w:r>
    </w:p>
    <w:p>
      <w:r>
        <w:rPr>
          <w:b/>
          <w:sz w:val="24"/>
        </w:rPr>
        <w:t>1.名称与编号</w:t>
      </w:r>
    </w:p>
    <w:p>
      <w:pPr>
        <w:ind w:firstLine="480"/>
      </w:pPr>
      <w:r>
        <w:rPr/>
        <w:t>采购项目名称：</w:t>
      </w:r>
      <w:r>
        <w:rPr/>
        <w:t>佛山地铁2号线禅城区段外围视频监控建设项目</w:t>
      </w:r>
    </w:p>
    <w:p>
      <w:pPr>
        <w:ind w:firstLine="480"/>
      </w:pPr>
      <w:r>
        <w:rPr/>
        <w:t>采购计划编号：</w:t>
      </w:r>
      <w:r>
        <w:rPr/>
        <w:t>440604-2022-03678</w:t>
      </w:r>
    </w:p>
    <w:p>
      <w:pPr>
        <w:ind w:firstLine="480"/>
      </w:pPr>
      <w:r>
        <w:rPr/>
        <w:t>采购项目编号：</w:t>
      </w:r>
      <w:r>
        <w:rPr/>
        <w:t>XY0122071</w:t>
      </w:r>
    </w:p>
    <w:p>
      <w:pPr>
        <w:ind w:firstLine="480"/>
      </w:pPr>
      <w:r>
        <w:rPr/>
        <w:t>采购方式：</w:t>
      </w:r>
      <w:r>
        <w:rPr/>
        <w:t>竞争性磋商</w:t>
      </w:r>
    </w:p>
    <w:p>
      <w:pPr>
        <w:ind w:firstLine="480"/>
      </w:pPr>
      <w:r>
        <w:rPr/>
        <w:t>预算金额：</w:t>
      </w:r>
      <w:r>
        <w:rPr/>
        <w:t>1,811,378.00</w:t>
      </w:r>
      <w:r>
        <w:rPr/>
        <w:t>元</w:t>
      </w:r>
    </w:p>
    <w:p>
      <w:r>
        <w:rPr>
          <w:b/>
          <w:sz w:val="24"/>
        </w:rPr>
        <w:t>2.项目内容及需求情况（采购项目技术规格、参数及要求）</w:t>
      </w:r>
    </w:p>
    <w:p>
      <w:pPr>
        <w:ind w:firstLine="480"/>
      </w:pPr>
    </w:p>
    <w:p/>
    <w:p>
      <w:r>
        <w:rPr/>
        <w:t>采购包1(佛山地铁2号线禅城区段外围视频监控建设项目):</w:t>
      </w:r>
    </w:p>
    <w:p>
      <w:r>
        <w:rPr/>
        <w:t>采购包预算金额：1,811,378.00元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视频监控设备</w:t>
            </w:r>
          </w:p>
        </w:tc>
        <w:tc>
          <w:tcPr>
            <w:tcW w:type="dxa" w:w="2136"/>
          </w:tcPr>
          <w:p>
            <w:r>
              <w:rPr/>
              <w:t>佛山地铁2号线禅城区段外围视频监控</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合同履行期限：自合同签订之日起60个日历天内完成全部设备的安装、调试、培训与验收工作</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副本复印件。分支机构参与磋商的，须提供总公司和分公司营业执照副本复印件，总公司出具给分支机构的授权书，分支机构可沿用总公司的各项资质材料证明。</w:t>
      </w:r>
    </w:p>
    <w:p/>
    <w:p>
      <w:r>
        <w:rPr/>
        <w:t>2）有依法缴纳税收和社会保障资金的良好记录：提供响应文件递交截止日前6个月内（含截止日当月）任意1个月缴纳税收和社会保险的凭据证明材料复印件；如依法免税或不需要缴纳社会保障资金的，提供相应证明材料。</w:t>
      </w:r>
    </w:p>
    <w:p/>
    <w:p>
      <w:r>
        <w:rPr/>
        <w:t>3）具有良好的商业信誉和健全的财务会计制度：提供2021年度财务状况报告或响应文件递交截止日前6个月内（不含截止日当月）任意1个月的财务状况报告复印件，或基本开户行出具的资信证明复印件。</w:t>
      </w:r>
    </w:p>
    <w:p/>
    <w:p>
      <w:r>
        <w:rPr/>
        <w:t>4）履行合同所必需的设备和专业技术能力：按投标（响应）文件格式填报设备及专业技术能力情况。</w:t>
      </w:r>
    </w:p>
    <w:p/>
    <w:p>
      <w:r>
        <w:rPr/>
        <w:t>5）参加采购活动前3年内，在经营活动中没有重大违法记录：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采购包1（佛山地铁2号线禅城区段外围视频监控建设项目）：</w:t>
      </w:r>
      <w:r>
        <w:rPr/>
        <w:t>采购包不属于专门面向中小企业采购项目。</w:t>
      </w:r>
    </w:p>
    <w:p/>
    <w:p>
      <w:r>
        <w:rPr>
          <w:b/>
          <w:sz w:val="24"/>
        </w:rPr>
        <w:t>3.本项目特定的资格要求：</w:t>
      </w:r>
    </w:p>
    <w:p>
      <w:pPr>
        <w:ind w:firstLine="480"/>
      </w:pPr>
    </w:p>
    <w:p/>
    <w:p>
      <w:r>
        <w:rPr/>
        <w:t>采购包1（佛山地铁2号线禅城区段外围视频监控建设项目）：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t>3)供应商须具有有效的公安部门颁发的《广东省安全技术防范系统设计、施工、维修资格证》叁级或以上资质证书（非广东省企业须提供所在地公安部门颁发的有效的《安全技术防范系统设计、施工、维修资格证》叁级或以上资质证书和广东省公安部门颁发的备案证明，或者提供安防行业协会颁发的有效的叁级或以上安防工程企业设计施工维护能力证书和广东省公安部门颁发的备案证明）。（须提供相关证明材料复印件加盖供应商公章）。</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佛山市公共资源交易网（http://ggzy.foshan.gov.cn/）、佛山市公共资源交易中心禅城分中心（http://ccggzy.chancheng.gov.cn/）及采购代理机构网站（www.fssxyzx.com）</w:t>
      </w:r>
    </w:p>
    <w:p>
      <w:r>
        <w:rPr>
          <w:b/>
          <w:sz w:val="28"/>
        </w:rPr>
        <w:t>六.本项目联系方式：</w:t>
      </w:r>
    </w:p>
    <w:p>
      <w:r>
        <w:rPr>
          <w:b/>
          <w:sz w:val="24"/>
        </w:rPr>
        <w:t>1.采购人信息</w:t>
      </w:r>
    </w:p>
    <w:p>
      <w:pPr>
        <w:ind w:firstLine="480"/>
      </w:pPr>
      <w:r>
        <w:rPr/>
        <w:t>名称：</w:t>
      </w:r>
      <w:r>
        <w:rPr/>
        <w:t>佛山市公安局禅城分局</w:t>
      </w:r>
    </w:p>
    <w:p>
      <w:pPr>
        <w:ind w:firstLine="480"/>
      </w:pPr>
      <w:r>
        <w:rPr/>
        <w:t>地址：</w:t>
      </w:r>
      <w:r>
        <w:rPr/>
        <w:t>佛山市禅城区清水一街1号</w:t>
      </w:r>
    </w:p>
    <w:p>
      <w:pPr>
        <w:ind w:firstLine="480"/>
      </w:pPr>
      <w:r>
        <w:rPr/>
        <w:t>联系方式：</w:t>
      </w:r>
      <w:r>
        <w:rPr/>
        <w:t>0757-82729810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廖小姐</w:t>
      </w:r>
    </w:p>
    <w:p>
      <w:pPr>
        <w:ind w:firstLine="480"/>
      </w:pPr>
      <w:r>
        <w:rPr/>
        <w:t>电话：</w:t>
      </w:r>
      <w:r>
        <w:rPr/>
        <w:t>0757-83279001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基于目前疫情防控紧张时期，广东省内外地区疫情反复，地铁站具有关联开放度广、封闭性高、客流量大、人员复杂等特点，在开展新冠肺炎密接人员排查时，利用智能化视频监控设备必然会给排查工作提供很大帮助。因此，佛山市公安局禅城分局拟结合社会面管控、反暴力恐怖袭击、重点人员管控、安保活动等方面要求，针对佛山地铁</w:t>
      </w:r>
      <w:r>
        <w:rPr>
          <w:sz w:val="21"/>
        </w:rPr>
        <w:t>2</w:t>
      </w:r>
      <w:r>
        <w:rPr>
          <w:sz w:val="21"/>
        </w:rPr>
        <w:t>号线禅城段站点的地铁出入口</w:t>
      </w:r>
      <w:r>
        <w:rPr>
          <w:sz w:val="21"/>
        </w:rPr>
        <w:t>/</w:t>
      </w:r>
      <w:r>
        <w:rPr>
          <w:sz w:val="21"/>
        </w:rPr>
        <w:t>通道加装智能监控前端，以提升疫情管控能力。</w:t>
      </w:r>
    </w:p>
    <w:p/>
    <w:p>
      <w:pPr>
        <w:ind w:firstLine="480"/>
      </w:pPr>
    </w:p>
    <w:p/>
    <w:p>
      <w:r>
        <w:rPr/>
        <w:t>合同包1（佛山地铁2号线禅城区段外围视频监控建设项目）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自合同签订之日起60个日历天内完成全部设备的安装、调试、培训与验收工作</w:t>
            </w:r>
          </w:p>
        </w:tc>
      </w:tr>
      <w:tr>
        <w:tc>
          <w:tcPr>
            <w:tcW w:type="dxa" w:w="4153"/>
          </w:tcPr>
          <w:p>
            <w:r>
              <w:rPr/>
              <w:t>标的提供的地点</w:t>
            </w:r>
          </w:p>
        </w:tc>
        <w:tc>
          <w:tcPr>
            <w:tcW w:type="dxa" w:w="4153"/>
          </w:tcPr>
          <w:p/>
          <w:p>
            <w:r>
              <w:rPr/>
              <w:t>广东省佛山市禅城区</w:t>
            </w:r>
          </w:p>
        </w:tc>
      </w:tr>
      <w:tr>
        <w:tc>
          <w:tcPr>
            <w:tcW w:type="dxa" w:w="4153"/>
          </w:tcPr>
          <w:p>
            <w:r>
              <w:rPr/>
              <w:t>付款方式</w:t>
            </w:r>
          </w:p>
        </w:tc>
        <w:tc>
          <w:tcPr>
            <w:tcW w:type="dxa" w:w="4153"/>
          </w:tcPr>
          <w:p/>
          <w:p/>
          <w:p>
            <w:r>
              <w:rPr/>
              <w:t>1期：支付比例100%,由采购人按下列程序付款：  1.预付款：签订合同后5个工作日内，支付合同总价的30%。 2.设备安装调试结束，提交全部报告材料，调试完成并验收合格后5个工作日内，支付合同总价的70%。 3.成交供应商凭以下有效文件与采购人结算： （1）合同； （2）成交供应商开具的正式发票； （3）验收调试报告（加盖采购人公章，支付第二笔款项时提供）； （4）成交通知书。 成交供应商收款时必须持有效发票与采购人结算。收款方、出具发票方、合同乙方均必须与成交供应商名称一致。</w:t>
            </w:r>
          </w:p>
        </w:tc>
      </w:tr>
      <w:tr>
        <w:tc>
          <w:tcPr>
            <w:tcW w:type="dxa" w:w="4153"/>
          </w:tcPr>
          <w:p>
            <w:r>
              <w:rPr/>
              <w:t>验收要求</w:t>
            </w:r>
          </w:p>
        </w:tc>
        <w:tc>
          <w:tcPr>
            <w:tcW w:type="dxa" w:w="4153"/>
          </w:tcPr>
          <w:p/>
          <w:p/>
          <w:p/>
          <w:p>
            <w:r>
              <w:rPr/>
              <w:t>1期：1.全部合同货物到达交货地点且采购人收到验收建议之日起7日内按照合同的约定对履约情况进行验收。 2.设备验收在采购人和成交供应商双方共同参与下按国家有关的规定、规范进行； 3.验收时如发现所交付的设备有短装、次品、损坏或其它不符合本合同规定之情形者，采购人应作出详尽的现场记录，或由采购人、成交供应商双方签署备忘录。此现场记录或备忘录可用作补充、缺失和更换损坏部件的有效证据。因此产生的有关费用由成交供应商承担； 4.如果合同设备运输和安装过程中因事故造成货物短缺、损坏，成交供应商应及时安排补货、换货， 以保证合同设备安装的成功完成。换货的相关费用由成交供应商承担； 5.成交供应商保证合同项下提供的设备不侵犯任何第三方的专利、商标或版权。否则，成交供应商须承担对第三方的专利或版权的侵权责任并承担因此而发生的所有费用。 6.交付验收标准依次序对照适用标准 6.1 符合中华人民共和国国家安全质量标准、环保标准或行业标准； 6.2 符合竞争性磋商和响应承诺中采购人认可的合理最佳配置、参数及各项要求； 6.3 货物来源国官方标准。 7.设备要求 7.1 货物为原制造商制造的全新产品，整机无污染，无侵权行为、表面无划损、无任何缺陷隐患，在中国境内可依常规安全合法使用。 7.2 货物为原厂商未启封全新包装，具出厂合格证，序列号、包装箱号与出厂批号一致，并可追索查阅。 7.3 有关键主机设备的用户手册、保修手册、有关单证资料及配备件、随机工具等，使用操作及安全 须知等重要资料应附有中文说明。</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w:t>
            </w:r>
          </w:p>
          <w:p/>
          <w:p>
            <w:r>
              <w:rPr/>
              <w:t>2，★供应商须对本项目为单位的服务内容进行整体响应，任何只对其中一部分服务内容进行的响 应都被视为无效响应。</w:t>
            </w:r>
          </w:p>
          <w:p/>
          <w:p>
            <w:r>
              <w:rPr/>
              <w:t>3，质保运维期及系统维护服务</w:t>
            </w:r>
          </w:p>
          <w:p/>
          <w:p>
            <w:r>
              <w:rPr/>
              <w:t>3.1，★质保运维期 成交供应商须提供1年的前端摄像机质保维护；以及提供2年前端电费及电费代缴服务；质保期自最终验收合格之日起算。</w:t>
            </w:r>
          </w:p>
          <w:p/>
          <w:p>
            <w:r>
              <w:rPr/>
              <w:t>3.2，系统维护服务 (1)成交供应商应承诺服务响应时间为1小时，收到采购人的报修信息后，维护工程师在4小时内到达现场，如故障无法排除，成交供应商应为采购人免费提供同品牌、型号或更高型号的部件进行更换确保系统正常运行。 (2)故障因为第三方原因在限时解决时间内无法完成修复的应申请延期，具体延期时间以采购人批准时间为准。 (3)采购人报障方式和前端设备维修时限性 采购人可以通过电话、口头、微信群、QQ群或工单等方式进行报障，以上任何一种方式都认为是有效报障方式。</w:t>
            </w:r>
          </w:p>
          <w:p/>
          <w:p>
            <w:r>
              <w:rPr/>
              <w:t>4，包装、保险及发运、保管要求 4.1 设备材料的包装必须是制造商原厂包装，其包装均应有良好的防湿、防锈、防潮、防雨、防腐及防碰撞的措施。凡由于包装不良造成的损失和由此产生的费用均由响应供应商承担。 4.2 成交供应商负责将设备材料货到现场过程中的全部运输，包括装卸车、货物现场的搬运。 4.3 各种设备必须提供装箱清单，按装箱清单验收货物。 4.4 货物在现场的保管由成交供应商负责，直至项目安装、验收完毕。 4.5 货物在系统安装调试验收合格前的保险由成交供应商负责，成交供应商负责其派出的现场服务人员人身意外保险。 4.6 设备至采购人指定的使用现场的包装、保险及发运等环节和费用均由成交供应商负责。</w:t>
            </w:r>
          </w:p>
          <w:p/>
          <w:p>
            <w:r>
              <w:rPr/>
              <w:t>5，安装、调试 成交供应商必须依照竞争性磋商文件的要求和响应文件的承诺，将设备、系统安装并调试至正常运行的最佳状态。</w:t>
            </w:r>
          </w:p>
          <w:p/>
          <w:p>
            <w:r>
              <w:rPr/>
              <w:t>6，报价要求 本项目采取总价包干，供应商所投报价应包括但不限于所用线路建造、供电建造、接地网建造、加装漏电保护开关、设备维修、设备更换、设备安装、系统调试、各种税费及合同实施过程中的不可预见等所有费用，采购人不再另外支付任何费用。</w:t>
            </w:r>
          </w:p>
          <w:p/>
          <w:p>
            <w:r>
              <w:rPr/>
              <w:t>7，其他说明:打“★”号条款为实质性条款，若有任何一条负偏离或不满足则导致投标（响应）无效 。</w:t>
            </w:r>
          </w:p>
          <w:p/>
          <w:p>
            <w:r>
              <w:rPr/>
              <w:t>8，本项目不允许分包。</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视频监控设备</w:t>
            </w:r>
          </w:p>
        </w:tc>
        <w:tc>
          <w:tcPr>
            <w:tcW w:type="dxa" w:w="933"/>
          </w:tcPr>
          <w:p>
            <w:pPr>
              <w:jc w:val="left"/>
            </w:pPr>
            <w:r>
              <w:rPr/>
              <w:t>佛山地铁2号线禅城区段外围视频监控</w:t>
            </w:r>
          </w:p>
        </w:tc>
        <w:tc>
          <w:tcPr>
            <w:tcW w:type="dxa" w:w="933"/>
          </w:tcPr>
          <w:p>
            <w:pPr>
              <w:jc w:val="left"/>
            </w:pPr>
            <w:r>
              <w:rPr/>
              <w:t>批</w:t>
            </w:r>
          </w:p>
        </w:tc>
        <w:tc>
          <w:tcPr>
            <w:tcW w:type="dxa" w:w="933"/>
          </w:tcPr>
          <w:p>
            <w:pPr>
              <w:jc w:val="right"/>
            </w:pPr>
            <w:r>
              <w:rPr/>
              <w:t>1.00</w:t>
            </w:r>
          </w:p>
        </w:tc>
        <w:tc>
          <w:tcPr>
            <w:tcW w:type="dxa" w:w="933"/>
          </w:tcPr>
          <w:p>
            <w:pPr>
              <w:jc w:val="right"/>
            </w:pPr>
            <w:r>
              <w:rPr/>
              <w:t>1,811,378.00</w:t>
            </w:r>
          </w:p>
        </w:tc>
        <w:tc>
          <w:tcPr>
            <w:tcW w:type="dxa" w:w="933"/>
          </w:tcPr>
          <w:p>
            <w:pPr>
              <w:jc w:val="right"/>
            </w:pPr>
            <w:r>
              <w:rPr/>
              <w:t>1,811,378.00</w:t>
            </w:r>
          </w:p>
        </w:tc>
        <w:tc>
          <w:tcPr>
            <w:tcW w:type="dxa" w:w="840"/>
          </w:tcPr>
          <w:p>
            <w:r>
              <w:rPr/>
              <w:t>工业</w:t>
            </w:r>
          </w:p>
        </w:tc>
        <w:tc>
          <w:tcPr>
            <w:tcW w:type="dxa" w:w="933"/>
          </w:tcPr>
          <w:p>
            <w:r>
              <w:rPr/>
              <w:t>详见附表一</w:t>
            </w:r>
          </w:p>
        </w:tc>
      </w:tr>
    </w:tbl>
    <w:p/>
    <w:p>
      <w:r>
        <w:rPr>
          <w:b/>
        </w:rPr>
        <w:t>附表</w:t>
      </w:r>
      <w:r>
        <w:rPr>
          <w:b/>
        </w:rPr>
        <w:t>一</w:t>
      </w:r>
      <w:r>
        <w:rPr>
          <w:b/>
        </w:rPr>
        <w:t>：</w:t>
      </w:r>
      <w:r>
        <w:rPr>
          <w:b/>
        </w:rPr>
        <w:t>佛山地铁2号线禅城区段外围视频监控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一、项目建设任务</w:t>
            </w:r>
            <w:r>
              <w:br/>
            </w:r>
            <w:r>
              <w:rPr/>
              <w:t>本期规划在10个地铁站点新建40个视频监控点位，共计71路高清视频监控设备，主要覆盖佛山地铁二号线站点出入口，设备接入公安视频网资源，对区域现场的实时录像和过人数据进行采集。</w:t>
            </w:r>
          </w:p>
        </w:tc>
      </w:tr>
      <w:tr>
        <w:tc>
          <w:tcPr>
            <w:tcW w:type="dxa" w:w="2076"/>
          </w:tcPr>
          <w:p/>
        </w:tc>
        <w:tc>
          <w:tcPr>
            <w:tcW w:type="dxa" w:w="415"/>
          </w:tcPr>
          <w:p>
            <w:r>
              <w:rPr/>
              <w:t>2</w:t>
            </w:r>
          </w:p>
        </w:tc>
        <w:tc>
          <w:tcPr>
            <w:tcW w:type="dxa" w:w="5814"/>
          </w:tcPr>
          <w:p>
            <w:r>
              <w:rPr/>
              <w:t>二、项目建设内容</w:t>
            </w:r>
            <w:r>
              <w:br/>
            </w:r>
            <w:r>
              <w:rPr/>
              <w:t>（一）前端采集系统建设</w:t>
            </w:r>
            <w:r>
              <w:br/>
            </w:r>
            <w:r>
              <w:rPr/>
              <w:t>前端感知网在地铁出入口/通道采用不低于400万像素智能网络高清监控摄像机（人脸枪机），支持过往人员进行全量的特征记录。在站点出口采用不低于400万像素多通道球型一体摄像机（高清球机），以对周边环境情况进行轮巡。</w:t>
            </w:r>
            <w:r>
              <w:br/>
            </w:r>
            <w:r>
              <w:rPr/>
              <w:t>具体建设任务如下表：</w:t>
            </w:r>
          </w:p>
          <w:tbl>
            <w:tblPr>
              <w:tblBorders>
                <w:top w:val="none" w:color="000000" w:sz="4"/>
                <w:left w:val="none" w:color="000000" w:sz="4"/>
                <w:bottom w:val="none" w:color="000000" w:sz="4"/>
                <w:right w:val="none" w:color="000000" w:sz="4"/>
                <w:insideH w:val="none"/>
                <w:insideV w:val="none"/>
              </w:tblBorders>
            </w:tblPr>
            <w:tblGrid>
              <w:gridCol w:w="554"/>
              <w:gridCol w:w="2815"/>
              <w:gridCol w:w="1077"/>
              <w:gridCol w:w="1152"/>
            </w:tblGrid>
            <w:tr>
              <w:tc>
                <w:tcPr>
                  <w:tcW w:type="dxa" w:w="554"/>
                  <w:tcBorders>
                    <w:top w:val="single" w:color="000000" w:sz="8"/>
                    <w:left w:val="single" w:color="000000" w:sz="8"/>
                    <w:bottom w:val="single" w:color="000000" w:sz="8"/>
                    <w:right w:val="single" w:color="000000" w:sz="8"/>
                  </w:tcBorders>
                  <w:vAlign w:val="top"/>
                </w:tcPr>
                <w:p>
                  <w:pPr>
                    <w:jc w:val="center"/>
                  </w:pPr>
                  <w:r>
                    <w:rPr>
                      <w:color w:val="000000"/>
                      <w:sz w:val="21"/>
                    </w:rPr>
                    <w:t>辖区</w:t>
                  </w:r>
                </w:p>
              </w:tc>
              <w:tc>
                <w:tcPr>
                  <w:tcW w:type="dxa" w:w="2815"/>
                  <w:tcBorders>
                    <w:top w:val="single" w:color="000000" w:sz="8"/>
                    <w:left w:val="none" w:color="000000" w:sz="4"/>
                    <w:bottom w:val="single" w:color="000000" w:sz="8"/>
                    <w:right w:val="single" w:color="000000" w:sz="8"/>
                  </w:tcBorders>
                  <w:vAlign w:val="top"/>
                </w:tcPr>
                <w:p>
                  <w:pPr>
                    <w:jc w:val="center"/>
                  </w:pPr>
                  <w:r>
                    <w:rPr>
                      <w:color w:val="000000"/>
                      <w:sz w:val="21"/>
                    </w:rPr>
                    <w:t>涉及地铁站</w:t>
                  </w:r>
                </w:p>
              </w:tc>
              <w:tc>
                <w:tcPr>
                  <w:tcW w:type="dxa" w:w="1077"/>
                  <w:tcBorders>
                    <w:top w:val="single" w:color="000000" w:sz="8"/>
                    <w:left w:val="none" w:color="000000" w:sz="4"/>
                    <w:bottom w:val="single" w:color="000000" w:sz="8"/>
                    <w:right w:val="single" w:color="000000" w:sz="8"/>
                  </w:tcBorders>
                  <w:vAlign w:val="top"/>
                </w:tcPr>
                <w:p>
                  <w:pPr>
                    <w:jc w:val="center"/>
                  </w:pPr>
                  <w:r>
                    <w:rPr>
                      <w:color w:val="000000"/>
                      <w:sz w:val="21"/>
                    </w:rPr>
                    <w:t>人脸枪机</w:t>
                  </w:r>
                </w:p>
                <w:p>
                  <w:pPr>
                    <w:jc w:val="center"/>
                  </w:pPr>
                  <w:r>
                    <w:rPr>
                      <w:color w:val="000000"/>
                      <w:sz w:val="21"/>
                    </w:rPr>
                    <w:t>（单位：个）</w:t>
                  </w:r>
                </w:p>
              </w:tc>
              <w:tc>
                <w:tcPr>
                  <w:tcW w:type="dxa" w:w="1152"/>
                  <w:tcBorders>
                    <w:top w:val="single" w:color="000000" w:sz="8"/>
                    <w:left w:val="none" w:color="000000" w:sz="4"/>
                    <w:bottom w:val="single" w:color="000000" w:sz="8"/>
                    <w:right w:val="single" w:color="000000" w:sz="8"/>
                  </w:tcBorders>
                  <w:vAlign w:val="top"/>
                </w:tcPr>
                <w:p>
                  <w:pPr>
                    <w:jc w:val="center"/>
                  </w:pPr>
                  <w:r>
                    <w:rPr>
                      <w:color w:val="000000"/>
                      <w:sz w:val="21"/>
                    </w:rPr>
                    <w:t>高清球机</w:t>
                  </w:r>
                </w:p>
                <w:p>
                  <w:pPr>
                    <w:jc w:val="center"/>
                  </w:pPr>
                  <w:r>
                    <w:rPr>
                      <w:color w:val="000000"/>
                      <w:sz w:val="21"/>
                    </w:rPr>
                    <w:t>（单位：个）</w:t>
                  </w:r>
                </w:p>
              </w:tc>
            </w:tr>
            <w:tr>
              <w:tc>
                <w:tcPr>
                  <w:tcW w:type="dxa" w:w="554"/>
                  <w:tcBorders>
                    <w:top w:val="none" w:color="000000" w:sz="4"/>
                    <w:left w:val="single" w:color="000000" w:sz="8"/>
                    <w:bottom w:val="single" w:color="000000" w:sz="8"/>
                    <w:right w:val="single" w:color="000000" w:sz="8"/>
                  </w:tcBorders>
                  <w:vAlign w:val="top"/>
                </w:tcPr>
                <w:p>
                  <w:pPr>
                    <w:jc w:val="center"/>
                  </w:pPr>
                  <w:r>
                    <w:rPr>
                      <w:color w:val="000000"/>
                      <w:sz w:val="21"/>
                    </w:rPr>
                    <w:t>禅城</w:t>
                  </w:r>
                </w:p>
              </w:tc>
              <w:tc>
                <w:tcPr>
                  <w:tcW w:type="dxa" w:w="2815"/>
                  <w:tcBorders>
                    <w:top w:val="none" w:color="000000" w:sz="4"/>
                    <w:left w:val="none" w:color="000000" w:sz="4"/>
                    <w:bottom w:val="single" w:color="000000" w:sz="8"/>
                    <w:right w:val="single" w:color="000000" w:sz="8"/>
                  </w:tcBorders>
                  <w:vAlign w:val="top"/>
                </w:tcPr>
                <w:p>
                  <w:pPr>
                    <w:jc w:val="center"/>
                  </w:pPr>
                  <w:r>
                    <w:rPr>
                      <w:color w:val="000000"/>
                      <w:sz w:val="21"/>
                    </w:rPr>
                    <w:t>南庄、湖涌、绿岛湖、智慧新城（莲塘）、张槎、石湾、沙岗、魁奇路、石梁、湾华</w:t>
                  </w:r>
                </w:p>
              </w:tc>
              <w:tc>
                <w:tcPr>
                  <w:tcW w:type="dxa" w:w="1077"/>
                  <w:tcBorders>
                    <w:top w:val="none" w:color="000000" w:sz="4"/>
                    <w:left w:val="none" w:color="000000" w:sz="4"/>
                    <w:bottom w:val="single" w:color="000000" w:sz="8"/>
                    <w:right w:val="single" w:color="000000" w:sz="8"/>
                  </w:tcBorders>
                  <w:vAlign w:val="top"/>
                </w:tcPr>
                <w:p>
                  <w:pPr>
                    <w:jc w:val="center"/>
                  </w:pPr>
                  <w:r>
                    <w:rPr>
                      <w:color w:val="000000"/>
                      <w:sz w:val="21"/>
                    </w:rPr>
                    <w:t>38</w:t>
                  </w:r>
                </w:p>
              </w:tc>
              <w:tc>
                <w:tcPr>
                  <w:tcW w:type="dxa" w:w="1152"/>
                  <w:tcBorders>
                    <w:top w:val="none" w:color="000000" w:sz="4"/>
                    <w:left w:val="none" w:color="000000" w:sz="4"/>
                    <w:bottom w:val="single" w:color="000000" w:sz="8"/>
                    <w:right w:val="single" w:color="000000" w:sz="8"/>
                  </w:tcBorders>
                  <w:vAlign w:val="top"/>
                </w:tcPr>
                <w:p>
                  <w:pPr>
                    <w:jc w:val="center"/>
                  </w:pPr>
                  <w:r>
                    <w:rPr>
                      <w:color w:val="000000"/>
                      <w:sz w:val="21"/>
                    </w:rPr>
                    <w:t>33</w:t>
                  </w:r>
                </w:p>
              </w:tc>
            </w:tr>
            <w:tr>
              <w:tc>
                <w:tcPr>
                  <w:tcW w:type="dxa" w:w="554"/>
                  <w:tcBorders>
                    <w:top w:val="none" w:color="000000" w:sz="4"/>
                    <w:left w:val="single" w:color="000000" w:sz="8"/>
                    <w:bottom w:val="single" w:color="000000" w:sz="8"/>
                    <w:right w:val="single" w:color="000000" w:sz="8"/>
                  </w:tcBorders>
                  <w:vAlign w:val="top"/>
                </w:tcPr>
                <w:p>
                  <w:pPr>
                    <w:jc w:val="center"/>
                  </w:pPr>
                  <w:r>
                    <w:rPr>
                      <w:color w:val="000000"/>
                      <w:sz w:val="21"/>
                    </w:rPr>
                    <w:t>合计</w:t>
                  </w:r>
                </w:p>
              </w:tc>
              <w:tc>
                <w:tcPr>
                  <w:tcW w:type="dxa" w:w="2815"/>
                  <w:tcBorders>
                    <w:top w:val="none" w:color="000000" w:sz="4"/>
                    <w:left w:val="none" w:color="000000" w:sz="4"/>
                    <w:bottom w:val="single" w:color="000000" w:sz="8"/>
                    <w:right w:val="single" w:color="000000" w:sz="8"/>
                  </w:tcBorders>
                  <w:vAlign w:val="top"/>
                </w:tcPr>
                <w:p>
                  <w:pPr>
                    <w:jc w:val="center"/>
                  </w:pPr>
                  <w:r>
                    <w:rPr>
                      <w:color w:val="000000"/>
                      <w:sz w:val="21"/>
                    </w:rPr>
                    <w:t>10</w:t>
                  </w:r>
                </w:p>
              </w:tc>
              <w:tc>
                <w:tcPr>
                  <w:tcW w:type="dxa" w:w="2229"/>
                  <w:gridSpan w:val="2"/>
                  <w:tcBorders>
                    <w:top w:val="none" w:color="000000" w:sz="4"/>
                    <w:left w:val="none" w:color="000000" w:sz="4"/>
                    <w:bottom w:val="single" w:color="000000" w:sz="8"/>
                    <w:right w:val="single" w:color="000000" w:sz="8"/>
                  </w:tcBorders>
                  <w:vAlign w:val="top"/>
                </w:tcPr>
                <w:p>
                  <w:pPr>
                    <w:jc w:val="center"/>
                  </w:pPr>
                  <w:r>
                    <w:rPr>
                      <w:color w:val="000000"/>
                      <w:sz w:val="21"/>
                    </w:rPr>
                    <w:t>71</w:t>
                  </w:r>
                </w:p>
              </w:tc>
            </w:tr>
          </w:tbl>
          <w:p>
            <w:r>
              <w:rPr/>
              <w:t>（二）网络传输系统建设</w:t>
            </w:r>
            <w:r>
              <w:br/>
            </w:r>
            <w:r>
              <w:rPr/>
              <w:t>本期规划建设40个视频监控点位主要通过自建或租赁裸光纤的方式实现数据传输。针对前端点位分布情况，其中7个点位通过自建链路的方式利旧附近公安监控网络汇聚点，其余点位采用租赁点对点裸光纤链路的方式，汇聚于禅城区公安机房并接入到视频专网。禅城区公安机房采用全光口接入，利旧机房现有光交换机。</w:t>
            </w:r>
            <w:r>
              <w:br/>
            </w:r>
            <w:r>
              <w:rPr/>
              <w:t>1.自建链路传输质量要求</w:t>
            </w:r>
            <w:r>
              <w:br/>
            </w:r>
            <w:r>
              <w:rPr/>
              <w:t>联网系统IP网络的传输质量应符合如下要求：</w:t>
            </w:r>
            <w:r>
              <w:br/>
            </w:r>
            <w:r>
              <w:rPr/>
              <w:t>(1)网络时延上限值为400ms；</w:t>
            </w:r>
            <w:r>
              <w:br/>
            </w:r>
            <w:r>
              <w:rPr/>
              <w:t>(2)时延抖动上限值为50ms；</w:t>
            </w:r>
            <w:r>
              <w:br/>
            </w:r>
            <w:r>
              <w:rPr/>
              <w:t>(3)丢包率上限值为1×10-3；</w:t>
            </w:r>
            <w:r>
              <w:br/>
            </w:r>
            <w:r>
              <w:rPr/>
              <w:t>(4)包误差率上限值为1×10-4。</w:t>
            </w:r>
            <w:r>
              <w:br/>
            </w:r>
            <w:r>
              <w:rPr/>
              <w:t>2.租赁链路传输要求</w:t>
            </w:r>
            <w:r>
              <w:br/>
            </w:r>
            <w:r>
              <w:rPr/>
              <w:t>本项目中要求租用的光纤网络在通信运营商的网路内只进行光纤的光路跳接，或专用光汇聚设备，要求公共安全视频监控系统专用光纤和通信运营方的业务在物理上严格隔离，不能造成治安通信信息的泄露。</w:t>
            </w:r>
            <w:r>
              <w:br/>
            </w:r>
            <w:r>
              <w:rPr/>
              <w:t xml:space="preserve">(1)网络传输要求 </w:t>
            </w:r>
            <w:r>
              <w:br/>
            </w:r>
            <w:r>
              <w:rPr/>
              <w:t>1)网络传输协议要求</w:t>
            </w:r>
            <w:r>
              <w:br/>
            </w:r>
            <w:r>
              <w:rPr/>
              <w:t>联网系统网络层应支持TCP/IP 协议，传输层应支持TCP 和UDP协议。</w:t>
            </w:r>
            <w:r>
              <w:br/>
            </w:r>
            <w:r>
              <w:rPr/>
              <w:t>2)媒体传输协议要求</w:t>
            </w:r>
            <w:r>
              <w:br/>
            </w:r>
            <w:r>
              <w:rPr/>
              <w:t xml:space="preserve">视音频流在基于IP的网络上传输时应支持RTP/RTCP协议；视音频流的数据封装格式应符合GB/T 28181-2016标准要求。 </w:t>
            </w:r>
            <w:r>
              <w:br/>
            </w:r>
            <w:r>
              <w:rPr/>
              <w:t xml:space="preserve">3)信息传输延迟时间 </w:t>
            </w:r>
            <w:r>
              <w:br/>
            </w:r>
            <w:r>
              <w:rPr/>
              <w:t>当信息（包括视音频信息、控制信息及报警信息等）经由IP网络传输时，端到端的信息延迟时间（包括发送端信息采集、编码、网络传输、信息接收端解码、显示等过程所经历的时间）应满足下列要求：</w:t>
            </w:r>
            <w:r>
              <w:br/>
            </w:r>
            <w:r>
              <w:rPr/>
              <w:t>前端设备与信号直接接入的监控中心相应设备间端到端的信息延迟时间应不大于2s；前端设备与用户终端设备间端到端的信息延迟时间应不大于4s。</w:t>
            </w:r>
            <w:r>
              <w:br/>
            </w:r>
            <w:r>
              <w:rPr/>
              <w:t>(2)网络传输带宽</w:t>
            </w:r>
            <w:r>
              <w:br/>
            </w:r>
            <w:r>
              <w:rPr/>
              <w:t>联网系统网络带宽设计应能满足前端设备接入监控中心、监控中心互联、用户终端接入监控中心的带宽要求，并留有余量。为确保图像质量，每个摄像机的接入带宽建设标准不低于30Mbps，且上下行均不低于30Mbps。</w:t>
            </w:r>
            <w:r>
              <w:br/>
            </w:r>
            <w:r>
              <w:rPr/>
              <w:t>(3)网络传输质量</w:t>
            </w:r>
            <w:r>
              <w:br/>
            </w:r>
            <w:r>
              <w:rPr/>
              <w:t>联网系统IP网络的传输质量（如传输时延、包丢失率、包误差率、虚假包率等）应符合如下要求：</w:t>
            </w:r>
            <w:r>
              <w:br/>
            </w:r>
            <w:r>
              <w:rPr/>
              <w:t>1)网络时延上限值为400ms；</w:t>
            </w:r>
            <w:r>
              <w:br/>
            </w:r>
            <w:r>
              <w:rPr/>
              <w:t>2)时延抖动上限值为50ms；</w:t>
            </w:r>
            <w:r>
              <w:br/>
            </w:r>
            <w:r>
              <w:rPr/>
              <w:t>3)丢包率上限值为1×10-3；</w:t>
            </w:r>
            <w:r>
              <w:br/>
            </w:r>
            <w:r>
              <w:rPr/>
              <w:t>4)包误差率上限值为1×10-4。</w:t>
            </w:r>
            <w:r>
              <w:br/>
            </w:r>
            <w:r>
              <w:rPr/>
              <w:t xml:space="preserve">(4)视频帧率 </w:t>
            </w:r>
            <w:r>
              <w:br/>
            </w:r>
            <w:r>
              <w:rPr/>
              <w:t>1)本地录像时可支持的视频帧率应不低于25帧/秒。</w:t>
            </w:r>
            <w:r>
              <w:br/>
            </w:r>
            <w:r>
              <w:rPr/>
              <w:t>2)本项目建设光缆网络使用的光缆和光纤连接设备符合国家标准。</w:t>
            </w:r>
            <w:r>
              <w:br/>
            </w:r>
            <w:r>
              <w:rPr/>
              <w:t>（三）存储系统建设</w:t>
            </w:r>
            <w:r>
              <w:br/>
            </w:r>
            <w:r>
              <w:rPr/>
              <w:t>本次规划建设的视频监控设备保存前端采集的视频录像及特征图片，存储在禅城区公安已建有的云存储，扩容资源池以满足本期90天的视频录像及180天的特征图片存储。设备应满足与禅城区公安局视频监控管理平台对接需求。</w:t>
            </w:r>
            <w:r>
              <w:br/>
            </w:r>
            <w:r>
              <w:rPr/>
              <w:t>（四）基础配套系统</w:t>
            </w:r>
            <w:r>
              <w:br/>
            </w:r>
            <w:r>
              <w:rPr/>
              <w:t>1.室外机箱要求</w:t>
            </w:r>
            <w:r>
              <w:br/>
            </w:r>
            <w:r>
              <w:rPr/>
              <w:t>(1)所有的电源、防雷器等前端辅助设备都安装在设备箱内，内部安装架的设计充分考虑设备的安装位置，同时具有防雨、防尘、防高温、防盗等功能。</w:t>
            </w:r>
            <w:r>
              <w:br/>
            </w:r>
            <w:r>
              <w:rPr/>
              <w:t>(2)用于箱体的金属材料，应具备抵抗腐蚀及电化学反应的能力；箱体宜采用优质201不锈钢板；箱体背板厚度应不小于1mm，其余面板厚度应不小于0.8mm。</w:t>
            </w:r>
            <w:r>
              <w:br/>
            </w:r>
            <w:r>
              <w:rPr/>
              <w:t>(3)箱体的宽高深不少于400mm×560mm×200mm；</w:t>
            </w:r>
            <w:r>
              <w:br/>
            </w:r>
            <w:r>
              <w:rPr/>
              <w:t>(4)所有锁芯统一钥匙；</w:t>
            </w:r>
            <w:r>
              <w:br/>
            </w:r>
            <w:r>
              <w:rPr/>
              <w:t>(5)整箱防水，并在通风槽内侧加防尘纱网；</w:t>
            </w:r>
            <w:r>
              <w:br/>
            </w:r>
            <w:r>
              <w:rPr/>
              <w:t>(6)箱体表面应喷涂白色防锈油漆，箱体应有明显标识及编号，表明设备箱用途，如“公共视频监控或禅城公安”字样，编制格式按采购人要求。</w:t>
            </w:r>
            <w:r>
              <w:br/>
            </w:r>
            <w:r>
              <w:rPr/>
              <w:t>(7)箱体进线孔必须有胶套保护，以防止各种线缆被刮伤。</w:t>
            </w:r>
            <w:r>
              <w:br/>
            </w:r>
            <w:r>
              <w:rPr/>
              <w:t>(8)箱体内应设置接地排，接地排孔洞数能满足箱内所有设备接地要求。</w:t>
            </w:r>
            <w:r>
              <w:br/>
            </w:r>
            <w:r>
              <w:rPr/>
              <w:t>(9)箱体的金属部分应互连并接至接地排，任意两点之间的连接电阻应小于0.1Ω。</w:t>
            </w:r>
            <w:r>
              <w:br/>
            </w:r>
            <w:r>
              <w:rPr/>
              <w:t>2.监控安装要求</w:t>
            </w:r>
            <w:r>
              <w:br/>
            </w:r>
            <w:r>
              <w:rPr/>
              <w:t>(1)立杆安装要求</w:t>
            </w:r>
            <w:r>
              <w:br/>
            </w:r>
            <w:r>
              <w:rPr/>
              <w:t>1)立杆高度为不少于5米，根据安装点实际情况及时调整。杆体为圆形锥杆，上对角90mm，下对角162mm，厚度4.0mm，横臂为60mm，厚度3.0mm采用Q235普通碳素结构钢制成。在杆的顶部设有φ25mm避雷针（与杆体一次成型）。</w:t>
            </w:r>
            <w:r>
              <w:br/>
            </w:r>
            <w:r>
              <w:rPr/>
              <w:t>2)横臂安装法兰应不少于3节，至少在底座上3m、4m、5m处各预留4个横臂安装法兰。</w:t>
            </w:r>
            <w:r>
              <w:br/>
            </w:r>
            <w:r>
              <w:rPr/>
              <w:t>3)为了方便快速定位监控点位，要求按采购人要求制订立杆编码。</w:t>
            </w:r>
            <w:r>
              <w:br/>
            </w:r>
            <w:r>
              <w:rPr/>
              <w:t>4)杆体喷涂处理：按采购人要求。</w:t>
            </w:r>
            <w:r>
              <w:br/>
            </w:r>
            <w:r>
              <w:rPr/>
              <w:t>(2)借杆/借墙横臂安装要求</w:t>
            </w:r>
            <w:r>
              <w:br/>
            </w:r>
            <w:r>
              <w:rPr/>
              <w:t xml:space="preserve">1)焊接牢固，无虚焊、假焊、裂缝等缺陷； </w:t>
            </w:r>
            <w:r>
              <w:br/>
            </w:r>
            <w:r>
              <w:rPr/>
              <w:t>2)立杆、横杆端部要求密封；</w:t>
            </w:r>
            <w:r>
              <w:br/>
            </w:r>
            <w:r>
              <w:rPr/>
              <w:t>3)借杆横臂采用钢材材质为Q235普通碳素结构钢（GB/T 700-2006）,口径对角φ60（3米横杆φ76），壁厚不低于3.0mm；</w:t>
            </w:r>
            <w:r>
              <w:br/>
            </w:r>
            <w:r>
              <w:rPr/>
              <w:t>4)借杆横臂受力支撑斜杆口径φ40（3米横杆φ60），壁厚不低于3.0mm；</w:t>
            </w:r>
            <w:r>
              <w:br/>
            </w:r>
            <w:r>
              <w:rPr/>
              <w:t>5)U型伸缩支架外管口径φ35内管口径φ28，壁厚不低于3.0mm；</w:t>
            </w:r>
            <w:r>
              <w:br/>
            </w:r>
            <w:r>
              <w:rPr/>
              <w:t>6)工件喷涂处理：喷锌/户外漆，白色。</w:t>
            </w:r>
            <w:r>
              <w:br/>
            </w:r>
            <w:r>
              <w:rPr/>
              <w:t>3.防雷接地要求</w:t>
            </w:r>
            <w:r>
              <w:br/>
            </w:r>
            <w:r>
              <w:rPr/>
              <w:t>(1)前端监控系统的防雷接地网设计严格执行国家的有关标准和规范，前端采集点防雷接地电阻≦10Ω。</w:t>
            </w:r>
            <w:r>
              <w:br/>
            </w:r>
            <w:r>
              <w:rPr/>
              <w:t>(2)当土壤电阻率太高而不能满足要求时，采用垂直接地极＋减阻剂的方法使地网接地电阻符合要求。</w:t>
            </w:r>
            <w:r>
              <w:br/>
            </w:r>
            <w:r>
              <w:rPr/>
              <w:t>4.供电要求</w:t>
            </w:r>
            <w:r>
              <w:br/>
            </w:r>
            <w:r>
              <w:rPr/>
              <w:t>(1)本期的接入点应就近选择稳定的一路220V市电作为接入点的供电电源，成交供应商需加装自动重合闸开关（含防雷浪涌保护器SPD），布放电力电缆（线径不小于2.5平方毫米）到接入点设备箱，保证引入部分电源线路的漏电及防雷保护，保障本期设备即联即用。</w:t>
            </w:r>
            <w:r>
              <w:br/>
            </w:r>
            <w:r>
              <w:rPr/>
              <w:t>(2)电源设备除电压、电流、功率符合容量要求外，还应尽量保证稳定性，必须考虑到控制时的大功率电流、多个负载同时启动时造成的压降，及到远距离传输时造成的压降等多方面的因素。</w:t>
            </w:r>
            <w:r>
              <w:br/>
            </w:r>
            <w:r>
              <w:rPr/>
              <w:t>(3)电源线的敷设应符合室外电线电缆的敷设标准和规范，并满足市政的相关要求。</w:t>
            </w:r>
            <w:r>
              <w:br/>
            </w:r>
            <w:r>
              <w:rPr/>
              <w:t>(4)本期项目中，联网供电由采购人协同当地供电部门、地铁部分等相关部门完成，市电AC220V电源输入至前端监控点控制箱的接入开关处，接入开关输出至前端设备的电源由项目成交供应商完善。</w:t>
            </w:r>
            <w:r>
              <w:br/>
            </w:r>
            <w:r>
              <w:rPr/>
              <w:t>(5)项目施工内需要保持安装地点的清洁文明，禁止影响周边环境。</w:t>
            </w:r>
            <w:r>
              <w:br/>
            </w:r>
            <w:r>
              <w:rPr/>
              <w:t>5.线路敷设与设备安装要求</w:t>
            </w:r>
            <w:r>
              <w:br/>
            </w:r>
            <w:r>
              <w:rPr/>
              <w:t>(1)线缆敷设要求</w:t>
            </w:r>
            <w:r>
              <w:br/>
            </w:r>
            <w:r>
              <w:rPr/>
              <w:t>1)电缆的弯曲半径应大于电缆直径的1.5倍；</w:t>
            </w:r>
            <w:r>
              <w:br/>
            </w:r>
            <w:r>
              <w:rPr/>
              <w:t>2)电源线宜与网线分开敷设；</w:t>
            </w:r>
            <w:r>
              <w:br/>
            </w:r>
            <w:r>
              <w:rPr/>
              <w:t>3)室外设备连接电缆时，从设备的下部进线；</w:t>
            </w:r>
            <w:r>
              <w:br/>
            </w:r>
            <w:r>
              <w:rPr/>
              <w:t>4)电缆长度逐盘核对，并根据设计图上各段线的长度来选配电缆，避免电缆的接续，当电缆需接续时采用专用接插件；</w:t>
            </w:r>
            <w:r>
              <w:br/>
            </w:r>
            <w:r>
              <w:rPr/>
              <w:t>5)系统供电（220VAC）布线与弱电信号布线分开。</w:t>
            </w:r>
            <w:r>
              <w:br/>
            </w:r>
            <w:r>
              <w:rPr/>
              <w:t>6)沿监控杆引上的摄像机电源线和视频信号线需考虑防雷保护：电源线和视频信号线应穿在金属管内以达到屏蔽作用，屏蔽金属管的两端均应接地。并在信号线和电源线上安装相应的防雷器。</w:t>
            </w:r>
            <w:r>
              <w:br/>
            </w:r>
            <w:r>
              <w:rPr/>
              <w:t>7)电源线、视频线信号线应自然平直，不得产生扭绞、打圈接头等现象，不应受外力的挤压和损伤。</w:t>
            </w:r>
            <w:r>
              <w:br/>
            </w:r>
            <w:r>
              <w:rPr/>
              <w:t>8)电源线与视频线信号线需分开布放，平行布放时，隔离应符合要求。</w:t>
            </w:r>
            <w:r>
              <w:br/>
            </w:r>
            <w:r>
              <w:rPr/>
              <w:t>9)电源线芯线间和芯线与地面的绝缘电阻应不小于1M欧姆。</w:t>
            </w:r>
            <w:r>
              <w:br/>
            </w:r>
            <w:r>
              <w:rPr/>
              <w:t>10)电源线必须根据设计要求穿铁管或PVC管后布放，铁管或PVC管质量和规格应符合设计规定，穿入管内的电源线不得有接头。</w:t>
            </w:r>
            <w:r>
              <w:br/>
            </w:r>
            <w:r>
              <w:rPr/>
              <w:t>(2)摄像机安装要求</w:t>
            </w:r>
            <w:r>
              <w:br/>
            </w:r>
            <w:r>
              <w:rPr/>
              <w:t>1)摄像机在安装前，应逐个通电检查和粗调。调整后焦面、电源同步等性能，在处于正常工作状态后方可安装。</w:t>
            </w:r>
            <w:r>
              <w:br/>
            </w:r>
            <w:r>
              <w:rPr/>
              <w:t>2)经功能检查、监视区域的观察和图像质量达标后方可固定。</w:t>
            </w:r>
            <w:r>
              <w:br/>
            </w:r>
            <w:r>
              <w:rPr/>
              <w:t>3)在高压带电的设备附近安装摄像机时，应遵守带电设备的安全规定。</w:t>
            </w:r>
            <w:r>
              <w:br/>
            </w:r>
            <w:r>
              <w:rPr/>
              <w:t>4)摄像机信号网线和电源导线应分别引入，并用金属管保护，不影响摄像机的转动。</w:t>
            </w:r>
            <w:r>
              <w:br/>
            </w:r>
            <w:r>
              <w:rPr/>
              <w:t>5)摄像机配套装置（防护罩、支架、雨刷等设备），安装时应灵活牢固。</w:t>
            </w:r>
            <w:r>
              <w:br/>
            </w:r>
            <w:r>
              <w:rPr/>
              <w:t>6)摄像机宜安装在监视目标附近，不易受到外界损伤的地方，安装位置不应影响附近现场人员的工作和正常活动。</w:t>
            </w:r>
            <w:r>
              <w:br/>
            </w:r>
            <w:r>
              <w:rPr/>
              <w:t>7)摄像机的安装必须牢固，应装在不易振动，行人难以接近的场所。</w:t>
            </w:r>
            <w:r>
              <w:br/>
            </w:r>
            <w:r>
              <w:rPr/>
              <w:t>8)鉴于技防工程的特殊要求，摄像机一律加装防护罩。</w:t>
            </w:r>
            <w:r>
              <w:br/>
            </w:r>
            <w:r>
              <w:rPr/>
              <w:t>9)在室外安装的摄像机要加防雷防拆装置。</w:t>
            </w:r>
            <w:r>
              <w:br/>
            </w:r>
            <w:r>
              <w:rPr/>
              <w:t>10)从摄像机引出的电缆宜预留1m左右的余量，不影响摄像机的转动，摄像机的电源和网线均应固定，不得用接头或插头承受线缆的自重。</w:t>
            </w:r>
            <w:r>
              <w:br/>
            </w:r>
            <w:r>
              <w:rPr/>
              <w:t>6.接电防漏电保护</w:t>
            </w:r>
            <w:r>
              <w:br/>
            </w:r>
            <w:r>
              <w:rPr/>
              <w:t>(1)所有接电必须做好防水浸漏电的保护措施，尤其是落地电箱到挂箱，以及挂箱到前端设备间原则上不允许强电接驳，必须采用整条完整电缆。</w:t>
            </w:r>
            <w:r>
              <w:br/>
            </w:r>
            <w:r>
              <w:rPr/>
              <w:t>(2)为了防止触电事故的发生，前端设备需要供电的回路上接入漏电保护器（漏电保护断路器），动作电流为30毫安。</w:t>
            </w:r>
            <w:r>
              <w:br/>
            </w:r>
            <w:r>
              <w:rPr/>
              <w:t>（五）其他服务要求</w:t>
            </w:r>
            <w:r>
              <w:br/>
            </w:r>
            <w:r>
              <w:rPr/>
              <w:t>1.培训服务</w:t>
            </w:r>
            <w:r>
              <w:br/>
            </w:r>
            <w:r>
              <w:rPr/>
              <w:t>项目实施安装现场须为采购人提供不限名额的技术培训，确保使用人员能够尽快掌握操作及保养流程，以及正常使用和处理常见的故障。</w:t>
            </w:r>
            <w:r>
              <w:br/>
            </w:r>
            <w:r>
              <w:rPr/>
              <w:t>培训需要表如下：</w:t>
            </w:r>
          </w:p>
          <w:tbl>
            <w:tblPr>
              <w:tblBorders>
                <w:top w:val="none" w:color="000000" w:sz="4"/>
                <w:left w:val="none" w:color="000000" w:sz="4"/>
                <w:bottom w:val="none" w:color="000000" w:sz="4"/>
                <w:right w:val="none" w:color="000000" w:sz="4"/>
                <w:insideH w:val="none"/>
                <w:insideV w:val="none"/>
              </w:tblBorders>
            </w:tblPr>
            <w:tblGrid>
              <w:gridCol w:w="1098"/>
              <w:gridCol w:w="2020"/>
              <w:gridCol w:w="2481"/>
            </w:tblGrid>
            <w:tr>
              <w:tc>
                <w:tcPr>
                  <w:tcW w:type="dxa" w:w="1098"/>
                  <w:tcBorders>
                    <w:top w:val="single" w:color="000000" w:sz="8"/>
                    <w:left w:val="single" w:color="000000" w:sz="8"/>
                    <w:bottom w:val="single" w:color="000000" w:sz="8"/>
                    <w:right w:val="single" w:color="000000" w:sz="8"/>
                  </w:tcBorders>
                  <w:shd w:fill="D9D9D9"/>
                  <w:vAlign w:val="top"/>
                </w:tcPr>
                <w:p>
                  <w:pPr>
                    <w:jc w:val="center"/>
                  </w:pPr>
                  <w:r>
                    <w:rPr>
                      <w:b/>
                      <w:sz w:val="21"/>
                    </w:rPr>
                    <w:t>课程名称</w:t>
                  </w:r>
                </w:p>
              </w:tc>
              <w:tc>
                <w:tcPr>
                  <w:tcW w:type="dxa" w:w="2020"/>
                  <w:tcBorders>
                    <w:top w:val="single" w:color="000000" w:sz="8"/>
                    <w:left w:val="single" w:color="000000" w:sz="8"/>
                    <w:bottom w:val="single" w:color="000000" w:sz="8"/>
                    <w:right w:val="single" w:color="000000" w:sz="8"/>
                  </w:tcBorders>
                  <w:shd w:fill="D9D9D9"/>
                  <w:vAlign w:val="top"/>
                </w:tcPr>
                <w:p>
                  <w:pPr>
                    <w:jc w:val="center"/>
                  </w:pPr>
                  <w:r>
                    <w:rPr>
                      <w:b/>
                      <w:sz w:val="21"/>
                    </w:rPr>
                    <w:t>提供的资料</w:t>
                  </w:r>
                </w:p>
              </w:tc>
              <w:tc>
                <w:tcPr>
                  <w:tcW w:type="dxa" w:w="2481"/>
                  <w:tcBorders>
                    <w:top w:val="single" w:color="000000" w:sz="8"/>
                    <w:left w:val="single" w:color="000000" w:sz="8"/>
                    <w:bottom w:val="single" w:color="000000" w:sz="8"/>
                    <w:right w:val="single" w:color="000000" w:sz="8"/>
                  </w:tcBorders>
                  <w:shd w:fill="D9D9D9"/>
                  <w:vAlign w:val="top"/>
                </w:tcPr>
                <w:p>
                  <w:pPr>
                    <w:jc w:val="center"/>
                  </w:pPr>
                  <w:r>
                    <w:rPr>
                      <w:b/>
                      <w:sz w:val="21"/>
                    </w:rPr>
                    <w:t>培训对象</w:t>
                  </w:r>
                </w:p>
              </w:tc>
            </w:tr>
            <w:tr>
              <w:tc>
                <w:tcPr>
                  <w:tcW w:type="dxa" w:w="1098"/>
                  <w:tcBorders>
                    <w:top w:val="none" w:color="000000" w:sz="4"/>
                    <w:left w:val="single" w:color="000000" w:sz="8"/>
                    <w:bottom w:val="single" w:color="000000" w:sz="8"/>
                    <w:right w:val="single" w:color="000000" w:sz="8"/>
                  </w:tcBorders>
                  <w:vAlign w:val="top"/>
                </w:tcPr>
                <w:p>
                  <w:pPr>
                    <w:jc w:val="center"/>
                  </w:pPr>
                  <w:r>
                    <w:rPr>
                      <w:sz w:val="21"/>
                    </w:rPr>
                    <w:t>理论培训</w:t>
                  </w:r>
                </w:p>
              </w:tc>
              <w:tc>
                <w:tcPr>
                  <w:tcW w:type="dxa" w:w="2020"/>
                  <w:tcBorders>
                    <w:top w:val="none" w:color="000000" w:sz="4"/>
                    <w:left w:val="single" w:color="000000" w:sz="8"/>
                    <w:bottom w:val="single" w:color="000000" w:sz="8"/>
                    <w:right w:val="single" w:color="000000" w:sz="8"/>
                  </w:tcBorders>
                  <w:vAlign w:val="top"/>
                </w:tcPr>
                <w:p>
                  <w:pPr>
                    <w:jc w:val="center"/>
                  </w:pPr>
                  <w:r>
                    <w:rPr>
                      <w:sz w:val="21"/>
                    </w:rPr>
                    <w:t>相关设备资料</w:t>
                  </w:r>
                </w:p>
                <w:p>
                  <w:pPr>
                    <w:jc w:val="center"/>
                  </w:pPr>
                  <w:r>
                    <w:rPr>
                      <w:sz w:val="21"/>
                    </w:rPr>
                    <w:t>《设备操作规程》</w:t>
                  </w:r>
                </w:p>
                <w:p>
                  <w:pPr>
                    <w:jc w:val="center"/>
                  </w:pPr>
                  <w:r>
                    <w:rPr>
                      <w:sz w:val="21"/>
                    </w:rPr>
                    <w:t>《设备管理维护手册》</w:t>
                  </w:r>
                </w:p>
                <w:p>
                  <w:pPr>
                    <w:jc w:val="center"/>
                  </w:pPr>
                  <w:r>
                    <w:rPr>
                      <w:sz w:val="21"/>
                    </w:rPr>
                    <w:t>《设备常见故障检修手册》</w:t>
                  </w:r>
                </w:p>
                <w:p>
                  <w:pPr>
                    <w:jc w:val="center"/>
                  </w:pPr>
                  <w:r>
                    <w:rPr>
                      <w:sz w:val="21"/>
                    </w:rPr>
                    <w:t>《软件功能说明书》</w:t>
                  </w:r>
                </w:p>
              </w:tc>
              <w:tc>
                <w:tcPr>
                  <w:tcW w:type="dxa" w:w="2481"/>
                  <w:tcBorders>
                    <w:top w:val="none" w:color="000000" w:sz="4"/>
                    <w:left w:val="single" w:color="000000" w:sz="8"/>
                    <w:bottom w:val="single" w:color="000000" w:sz="8"/>
                    <w:right w:val="single" w:color="000000" w:sz="8"/>
                  </w:tcBorders>
                  <w:vAlign w:val="top"/>
                </w:tcPr>
                <w:p>
                  <w:pPr>
                    <w:jc w:val="center"/>
                  </w:pPr>
                  <w:r>
                    <w:rPr>
                      <w:sz w:val="21"/>
                    </w:rPr>
                    <w:t>后台值班人员，系统维护检修人员</w:t>
                  </w:r>
                </w:p>
              </w:tc>
            </w:tr>
            <w:tr>
              <w:tc>
                <w:tcPr>
                  <w:tcW w:type="dxa" w:w="1098"/>
                  <w:tcBorders>
                    <w:top w:val="none" w:color="000000" w:sz="4"/>
                    <w:left w:val="single" w:color="000000" w:sz="8"/>
                    <w:bottom w:val="single" w:color="000000" w:sz="8"/>
                    <w:right w:val="single" w:color="000000" w:sz="8"/>
                  </w:tcBorders>
                  <w:vAlign w:val="top"/>
                </w:tcPr>
                <w:p>
                  <w:pPr>
                    <w:jc w:val="center"/>
                  </w:pPr>
                  <w:r>
                    <w:rPr>
                      <w:sz w:val="21"/>
                    </w:rPr>
                    <w:t>实际操作培训</w:t>
                  </w:r>
                </w:p>
              </w:tc>
              <w:tc>
                <w:tcPr>
                  <w:tcW w:type="dxa" w:w="2020"/>
                  <w:tcBorders>
                    <w:top w:val="none" w:color="000000" w:sz="4"/>
                    <w:left w:val="single" w:color="000000" w:sz="8"/>
                    <w:bottom w:val="single" w:color="000000" w:sz="8"/>
                    <w:right w:val="single" w:color="000000" w:sz="8"/>
                  </w:tcBorders>
                  <w:vAlign w:val="top"/>
                </w:tcPr>
                <w:p>
                  <w:pPr>
                    <w:jc w:val="center"/>
                  </w:pPr>
                  <w:r>
                    <w:rPr>
                      <w:sz w:val="21"/>
                    </w:rPr>
                    <w:t>《设备操作规程》</w:t>
                  </w:r>
                </w:p>
                <w:p>
                  <w:pPr>
                    <w:jc w:val="center"/>
                  </w:pPr>
                  <w:r>
                    <w:rPr>
                      <w:sz w:val="21"/>
                    </w:rPr>
                    <w:t>《设备管理维护手册》</w:t>
                  </w:r>
                </w:p>
                <w:p>
                  <w:pPr>
                    <w:jc w:val="center"/>
                  </w:pPr>
                  <w:r>
                    <w:rPr>
                      <w:sz w:val="21"/>
                    </w:rPr>
                    <w:t>《设备常见故障检修手册》</w:t>
                  </w:r>
                </w:p>
                <w:p>
                  <w:pPr>
                    <w:jc w:val="center"/>
                  </w:pPr>
                  <w:r>
                    <w:rPr>
                      <w:sz w:val="21"/>
                    </w:rPr>
                    <w:t>《软件功能说明书》</w:t>
                  </w:r>
                </w:p>
              </w:tc>
              <w:tc>
                <w:tcPr>
                  <w:tcW w:type="dxa" w:w="2481"/>
                  <w:tcBorders>
                    <w:top w:val="none" w:color="000000" w:sz="4"/>
                    <w:left w:val="single" w:color="000000" w:sz="8"/>
                    <w:bottom w:val="single" w:color="000000" w:sz="8"/>
                    <w:right w:val="single" w:color="000000" w:sz="8"/>
                  </w:tcBorders>
                  <w:vAlign w:val="top"/>
                </w:tcPr>
                <w:p>
                  <w:pPr>
                    <w:jc w:val="center"/>
                  </w:pPr>
                  <w:r>
                    <w:rPr>
                      <w:sz w:val="21"/>
                    </w:rPr>
                    <w:t>后台值班人员，系统维护检修人员</w:t>
                  </w:r>
                </w:p>
              </w:tc>
            </w:tr>
          </w:tbl>
          <w:p>
            <w:r>
              <w:rPr/>
              <w:t>2.备件要求</w:t>
            </w:r>
            <w:r>
              <w:br/>
            </w:r>
            <w:r>
              <w:rPr/>
              <w:t>成交供应商应为项目设立专用的备品备件库，对常规设备、配件均做一定数量的预备；对主体功能设备及网络设备提供同功能、档次的备件品。</w:t>
            </w:r>
            <w:r>
              <w:br/>
            </w:r>
            <w:r>
              <w:rPr/>
              <w:t>3.不属于成交供应商承担维护费用范围</w:t>
            </w:r>
            <w:r>
              <w:br/>
            </w:r>
            <w:r>
              <w:rPr/>
              <w:t>(1)由于不可抗力的原因，如台风、地震、战争造成设备损坏的；</w:t>
            </w:r>
            <w:r>
              <w:br/>
            </w:r>
            <w:r>
              <w:rPr/>
              <w:t>(2)由于交通管理或物业的原因，由采购人提出对设备进行迁移、新建、改建的；</w:t>
            </w:r>
            <w:r>
              <w:br/>
            </w:r>
            <w:r>
              <w:rPr/>
              <w:t>(3)由于人为事故造成的设备损坏，成交供应商能够提供相关证据，肇事者对设备已经赔付的，由采购人恢复；</w:t>
            </w:r>
            <w:r>
              <w:br/>
            </w:r>
            <w:r>
              <w:rPr/>
              <w:t>4.维护工作交接问题</w:t>
            </w:r>
            <w:r>
              <w:br/>
            </w:r>
            <w:r>
              <w:rPr/>
              <w:t>(1)质保维护期结束后，由成交供应商与下一任维护服务商进行交接，成交供应商应确保所有移交设备均为正常运行，能被下一任维护服务商接收，采购人不再组织与下一任维护服务商的交接工作。</w:t>
            </w:r>
            <w:r>
              <w:br/>
            </w:r>
            <w:r>
              <w:rPr/>
              <w:t>(2)成交供应商必须保证：在下一任维护服务单位自运维合同签订之日起3日内，完成与下一任维护服务单位的工作交接，15日后全面负责所有维保工作并确保本项目所涉系统正常运行。</w:t>
            </w:r>
            <w:r>
              <w:br/>
            </w:r>
            <w:r>
              <w:rPr/>
              <w:t>5.电费</w:t>
            </w:r>
            <w:r>
              <w:br/>
            </w:r>
            <w:r>
              <w:rPr/>
              <w:t>质保运维期内，前端设备产生的所有电费，包括市电电费、协商借电电费等，均由成交供应商缴纳。该费用已包含在维护费用报价里。</w:t>
            </w:r>
            <w:r>
              <w:br/>
            </w:r>
            <w:r>
              <w:rPr/>
              <w:t>6.漏电检测</w:t>
            </w:r>
            <w:r>
              <w:br/>
            </w:r>
            <w:r>
              <w:rPr/>
              <w:t>成交供应商需做好设备的漏电检测，对维护设备、外接用电设备进行漏电检测以及对设备周围的金属构件进行检测，防止金属构件意外带电，成交供应商所有的维护设施不得发生漏电事故，否则一切责任及造成的全部损失由成交供应商负责。</w:t>
            </w:r>
            <w:r>
              <w:br/>
            </w:r>
            <w:r>
              <w:rPr/>
              <w:t>7.重新取电</w:t>
            </w:r>
            <w:r>
              <w:br/>
            </w:r>
            <w:r>
              <w:rPr/>
              <w:t>设备因为迁移或原来取电点已经不再具备取电的条件，由成交供应商自行报装取电或就近协商借电，相关取电费用由成交供应商解决，采购人不再增加费用。</w:t>
            </w:r>
            <w:r>
              <w:br/>
            </w:r>
            <w:r>
              <w:rPr/>
              <w:t>8.安全生产责任</w:t>
            </w:r>
            <w:r>
              <w:br/>
            </w:r>
            <w:r>
              <w:rPr/>
              <w:t>成交供应商要严格落实各项安全生产制度，维护人员因为在工作中引起的各种工伤、安全事件和事故，均由成交供应商负责，采购人免于一切责任。</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tc>
      </w:tr>
      <w:tr>
        <w:tc>
          <w:tcPr>
            <w:tcW w:type="dxa" w:w="2076"/>
          </w:tcPr>
          <w:p/>
        </w:tc>
        <w:tc>
          <w:tcPr>
            <w:tcW w:type="dxa" w:w="415"/>
          </w:tcPr>
          <w:p>
            <w:r>
              <w:rPr/>
              <w:t>3</w:t>
            </w:r>
          </w:p>
        </w:tc>
        <w:tc>
          <w:tcPr>
            <w:tcW w:type="dxa" w:w="5814"/>
          </w:tcPr>
          <w:p>
            <w:r>
              <w:rPr/>
              <w:t>三、采购清单</w:t>
            </w:r>
            <w:r>
              <w:br/>
            </w:r>
            <w:r>
              <w:rPr/>
              <w:t>△本项目核心产品为 “多通道球型一体摄像机”。</w:t>
            </w:r>
          </w:p>
          <w:tbl>
            <w:tblPr>
              <w:tblBorders>
                <w:top w:val="none" w:color="000000" w:sz="4"/>
                <w:left w:val="none" w:color="000000" w:sz="4"/>
                <w:bottom w:val="none" w:color="000000" w:sz="4"/>
                <w:right w:val="none" w:color="000000" w:sz="4"/>
                <w:insideH w:val="none"/>
                <w:insideV w:val="none"/>
              </w:tblBorders>
            </w:tblPr>
            <w:tblGrid>
              <w:gridCol w:w="450"/>
              <w:gridCol w:w="771"/>
              <w:gridCol w:w="3382"/>
              <w:gridCol w:w="514"/>
              <w:gridCol w:w="482"/>
            </w:tblGrid>
            <w:tr>
              <w:tc>
                <w:tcPr>
                  <w:tcW w:type="dxa" w:w="450"/>
                  <w:tcBorders>
                    <w:top w:val="single" w:color="000000" w:sz="8"/>
                    <w:left w:val="single" w:color="000000" w:sz="8"/>
                    <w:bottom w:val="single" w:color="000000" w:sz="8"/>
                    <w:right w:val="single" w:color="000000" w:sz="8"/>
                  </w:tcBorders>
                  <w:shd w:fill="F1F1F1"/>
                  <w:vAlign w:val="top"/>
                </w:tcPr>
                <w:p>
                  <w:pPr>
                    <w:jc w:val="center"/>
                  </w:pPr>
                  <w:r>
                    <w:rPr>
                      <w:b/>
                      <w:color w:val="000000"/>
                      <w:sz w:val="21"/>
                    </w:rPr>
                    <w:t>序号</w:t>
                  </w:r>
                </w:p>
              </w:tc>
              <w:tc>
                <w:tcPr>
                  <w:tcW w:type="dxa" w:w="771"/>
                  <w:tcBorders>
                    <w:top w:val="single" w:color="000000" w:sz="8"/>
                    <w:left w:val="none" w:color="000000" w:sz="4"/>
                    <w:bottom w:val="single" w:color="000000" w:sz="8"/>
                    <w:right w:val="single" w:color="000000" w:sz="8"/>
                  </w:tcBorders>
                  <w:shd w:fill="F1F1F1"/>
                  <w:vAlign w:val="top"/>
                </w:tcPr>
                <w:p>
                  <w:pPr>
                    <w:jc w:val="center"/>
                  </w:pPr>
                  <w:r>
                    <w:rPr>
                      <w:b/>
                      <w:color w:val="000000"/>
                      <w:sz w:val="21"/>
                    </w:rPr>
                    <w:t>设备名称</w:t>
                  </w:r>
                </w:p>
              </w:tc>
              <w:tc>
                <w:tcPr>
                  <w:tcW w:type="dxa" w:w="3382"/>
                  <w:tcBorders>
                    <w:top w:val="single" w:color="000000" w:sz="8"/>
                    <w:left w:val="none" w:color="000000" w:sz="4"/>
                    <w:bottom w:val="single" w:color="000000" w:sz="8"/>
                    <w:right w:val="single" w:color="000000" w:sz="8"/>
                  </w:tcBorders>
                  <w:shd w:fill="F1F1F1"/>
                  <w:vAlign w:val="top"/>
                </w:tcPr>
                <w:p>
                  <w:pPr>
                    <w:jc w:val="center"/>
                  </w:pPr>
                  <w:r>
                    <w:rPr>
                      <w:b/>
                      <w:color w:val="000000"/>
                      <w:sz w:val="21"/>
                    </w:rPr>
                    <w:t>技术要求</w:t>
                  </w:r>
                </w:p>
              </w:tc>
              <w:tc>
                <w:tcPr>
                  <w:tcW w:type="dxa" w:w="514"/>
                  <w:tcBorders>
                    <w:top w:val="single" w:color="000000" w:sz="8"/>
                    <w:left w:val="none" w:color="000000" w:sz="4"/>
                    <w:bottom w:val="single" w:color="000000" w:sz="8"/>
                    <w:right w:val="single" w:color="000000" w:sz="8"/>
                  </w:tcBorders>
                  <w:shd w:fill="F1F1F1"/>
                  <w:vAlign w:val="top"/>
                </w:tcPr>
                <w:p>
                  <w:pPr>
                    <w:jc w:val="center"/>
                  </w:pPr>
                  <w:r>
                    <w:rPr>
                      <w:b/>
                      <w:color w:val="000000"/>
                      <w:sz w:val="21"/>
                    </w:rPr>
                    <w:t>单位</w:t>
                  </w:r>
                </w:p>
              </w:tc>
              <w:tc>
                <w:tcPr>
                  <w:tcW w:type="dxa" w:w="482"/>
                  <w:tcBorders>
                    <w:top w:val="single" w:color="000000" w:sz="8"/>
                    <w:left w:val="none" w:color="000000" w:sz="4"/>
                    <w:bottom w:val="single" w:color="000000" w:sz="8"/>
                    <w:right w:val="single" w:color="000000" w:sz="8"/>
                  </w:tcBorders>
                  <w:shd w:fill="F1F1F1"/>
                  <w:vAlign w:val="top"/>
                </w:tcPr>
                <w:p>
                  <w:pPr>
                    <w:jc w:val="center"/>
                  </w:pPr>
                  <w:r>
                    <w:rPr>
                      <w:b/>
                      <w:color w:val="000000"/>
                      <w:sz w:val="21"/>
                    </w:rPr>
                    <w:t>数量</w:t>
                  </w:r>
                </w:p>
              </w:tc>
            </w:tr>
            <w:tr>
              <w:tc>
                <w:tcPr>
                  <w:tcW w:type="dxa" w:w="5599"/>
                  <w:gridSpan w:val="5"/>
                  <w:tcBorders>
                    <w:top w:val="none" w:color="000000" w:sz="4"/>
                    <w:left w:val="single" w:color="000000" w:sz="8"/>
                    <w:bottom w:val="single" w:color="000000" w:sz="8"/>
                    <w:right w:val="single" w:color="000000" w:sz="8"/>
                  </w:tcBorders>
                  <w:vAlign w:val="top"/>
                </w:tcPr>
                <w:p>
                  <w:r>
                    <w:rPr>
                      <w:b/>
                      <w:color w:val="000000"/>
                      <w:sz w:val="21"/>
                    </w:rPr>
                    <w:t>1.1、前端监控设备</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智能网络高清监控摄像机</w:t>
                  </w:r>
                  <w:r>
                    <w:rPr>
                      <w:color w:val="000000"/>
                      <w:sz w:val="21"/>
                    </w:rPr>
                    <w:t>1</w:t>
                  </w:r>
                </w:p>
              </w:tc>
              <w:tc>
                <w:tcPr>
                  <w:tcW w:type="dxa" w:w="3382"/>
                  <w:tcBorders>
                    <w:top w:val="none" w:color="000000" w:sz="4"/>
                    <w:left w:val="none" w:color="000000" w:sz="4"/>
                    <w:bottom w:val="single" w:color="000000" w:sz="8"/>
                    <w:right w:val="single" w:color="000000" w:sz="8"/>
                  </w:tcBorders>
                  <w:vAlign w:val="top"/>
                </w:tcPr>
                <w:p>
                  <w:r>
                    <w:rPr>
                      <w:color w:val="000000"/>
                      <w:sz w:val="21"/>
                    </w:rPr>
                    <w:t>1、分辨率设置为2560×1440@25fps，镜头1和镜头2分辨力不小于1400TVL。</w:t>
                  </w:r>
                </w:p>
                <w:p>
                  <w:r>
                    <w:rPr>
                      <w:color w:val="000000"/>
                      <w:sz w:val="21"/>
                    </w:rPr>
                    <w:t>2、内置双镜头，图像传感器均不小于1/1.8"靶面尺寸。</w:t>
                  </w:r>
                </w:p>
                <w:p>
                  <w:r>
                    <w:rPr>
                      <w:color w:val="000000"/>
                      <w:sz w:val="21"/>
                    </w:rPr>
                    <w:t>3、内置GPU芯片。</w:t>
                  </w:r>
                </w:p>
                <w:p>
                  <w:r>
                    <w:rPr>
                      <w:color w:val="000000"/>
                      <w:sz w:val="21"/>
                    </w:rPr>
                    <w:t>4、内置2个麦克风、1个扬声器、1个风扇。</w:t>
                  </w:r>
                </w:p>
                <w:p>
                  <w:r>
                    <w:rPr>
                      <w:color w:val="000000"/>
                      <w:sz w:val="21"/>
                    </w:rPr>
                    <w:t>5、内置混合补光灯（均由红外灯、白光灯组成），支持混合补光、白光补光和关闭模式，可根据被摄物的距离自动调节混合灯亮度。</w:t>
                  </w:r>
                </w:p>
                <w:p>
                  <w:r>
                    <w:rPr>
                      <w:color w:val="000000"/>
                      <w:sz w:val="21"/>
                    </w:rPr>
                    <w:t>6、最低照度彩色不大于0.0002 lx，黑白不大于0.0001 lx。</w:t>
                  </w:r>
                </w:p>
                <w:p>
                  <w:r>
                    <w:rPr>
                      <w:color w:val="000000"/>
                      <w:sz w:val="21"/>
                    </w:rPr>
                    <w:t>7、信噪比不小于60dB。</w:t>
                  </w:r>
                </w:p>
                <w:p>
                  <w:r>
                    <w:rPr>
                      <w:color w:val="000000"/>
                      <w:sz w:val="21"/>
                    </w:rPr>
                    <w:t>8、在分辨率1920×1080 @ 25fps，延时不大于70ms。</w:t>
                  </w:r>
                </w:p>
                <w:p>
                  <w:r>
                    <w:rPr>
                      <w:color w:val="000000"/>
                      <w:sz w:val="21"/>
                    </w:rPr>
                    <w:t>9、支持检出两眼瞳距20像素点以上的人脸图片。</w:t>
                  </w:r>
                </w:p>
                <w:p>
                  <w:r>
                    <w:rPr>
                      <w:color w:val="000000"/>
                      <w:sz w:val="21"/>
                    </w:rPr>
                    <w:t>10、支持侧脸过滤功能，可过滤上下、左右角度达到预设值的人脸。</w:t>
                  </w:r>
                </w:p>
                <w:p>
                  <w:r>
                    <w:rPr>
                      <w:color w:val="000000"/>
                      <w:sz w:val="21"/>
                    </w:rPr>
                    <w:t>11、支持单场景同时检出不少于40张人脸图片。</w:t>
                  </w:r>
                </w:p>
                <w:p>
                  <w:r>
                    <w:rPr>
                      <w:color w:val="000000"/>
                      <w:sz w:val="21"/>
                    </w:rPr>
                    <w:t>12、同一静止场景相同图像质量下，设备在H.265编码方式时，开启智能编码功能和不开启智能编码相比，码率节约80%。</w:t>
                  </w:r>
                </w:p>
                <w:p>
                  <w:r>
                    <w:rPr>
                      <w:color w:val="000000"/>
                      <w:sz w:val="21"/>
                    </w:rPr>
                    <w:t>13、内置eMMC存储，支持开启、关闭eMMC保护功能。</w:t>
                  </w:r>
                </w:p>
                <w:p>
                  <w:r>
                    <w:rPr>
                      <w:color w:val="000000"/>
                      <w:sz w:val="21"/>
                    </w:rPr>
                    <w:t>14、不低于IP66防护等级。</w:t>
                  </w:r>
                </w:p>
                <w:p>
                  <w:r>
                    <w:rPr>
                      <w:color w:val="000000"/>
                      <w:sz w:val="21"/>
                    </w:rPr>
                    <w:t>15、具有DC12V电压输出接口。</w:t>
                  </w:r>
                </w:p>
                <w:p>
                  <w:r>
                    <w:rPr>
                      <w:color w:val="000000"/>
                      <w:sz w:val="21"/>
                    </w:rPr>
                    <w:t>16、支持对镜头前盖玻璃加热，去除玻璃上的冰状和水状附着物。</w:t>
                  </w:r>
                </w:p>
                <w:p>
                  <w:r>
                    <w:rPr>
                      <w:color w:val="000000"/>
                      <w:sz w:val="21"/>
                    </w:rPr>
                    <w:t>17、可通过IE浏览器或客户端软件控制镜头垂直±10°调节。</w:t>
                  </w:r>
                </w:p>
                <w:p>
                  <w:r>
                    <w:rPr>
                      <w:color w:val="000000"/>
                      <w:sz w:val="21"/>
                    </w:rPr>
                    <w:t>18、在IE 浏览器下，可通过扫描预览界面上的二维码获取设备资料。</w:t>
                  </w:r>
                </w:p>
                <w:p>
                  <w:r>
                    <w:rPr>
                      <w:color w:val="000000"/>
                      <w:sz w:val="21"/>
                    </w:rPr>
                    <w:t>19、支持数据感知功能，在IE 浏览器下，重启事件记录可包括正常重启和异常重启2种类型。正常重启可记录重启的时间、服务类型、用户名、IP/域名信息；异常重启可记录重启时间、异常类型信息。</w:t>
                  </w:r>
                </w:p>
                <w:p>
                  <w:pPr>
                    <w:jc w:val="both"/>
                  </w:pPr>
                  <w:r>
                    <w:rPr>
                      <w:color w:val="000000"/>
                      <w:sz w:val="21"/>
                    </w:rPr>
                    <w:t>20、固件安全，支持硬件微引导程序OTP写入保护机制，uboot的FLASH存储空间应采用防篡改功能。若非法修改FLASH中的内容，可提示异常报错，uboot无法正常启动。</w:t>
                  </w:r>
                </w:p>
                <w:p>
                  <w:r>
                    <w:rPr>
                      <w:color w:val="000000"/>
                      <w:sz w:val="21"/>
                    </w:rPr>
                    <w:t>21、支持固件安全检验功能，摄像机uboot应采用加密存储，通过离线烧写存储器方式写入的uboot执行程序，不能被硬件微引导程序加载执行。</w:t>
                  </w:r>
                </w:p>
                <w:p>
                  <w:r>
                    <w:rPr>
                      <w:b/>
                      <w:color w:val="000000"/>
                      <w:sz w:val="21"/>
                    </w:rPr>
                    <w:t>22、▲支持硬件微引导程序、uboot、OS、应用软件逐级校验功能，非法篡改的uboot、OS、应用软件固件包，不能通过命令行、浏览器、客户端方式进行升级。（须提供第三方检测机构出具的检测报告复印件，并加盖响应供应商公章）</w:t>
                  </w:r>
                </w:p>
                <w:p>
                  <w:r>
                    <w:rPr>
                      <w:b/>
                      <w:color w:val="000000"/>
                      <w:sz w:val="21"/>
                    </w:rPr>
                    <w:t>23、▲在IE浏览器下，具有设备重启和布防动态报警数据感知与记录功能，布防动态报警数据包括异常掉线、历史布防、实时布防3种类型；可记录报警的开始时间、结束时间、布防类型、报警链路地址、端口、链路续传。（须提供第三方检测机构出具的检测报告复印件，并加盖响应供应商公章）</w:t>
                  </w:r>
                </w:p>
                <w:p>
                  <w:r>
                    <w:rPr>
                      <w:b/>
                      <w:color w:val="000000"/>
                      <w:sz w:val="21"/>
                    </w:rPr>
                    <w:t>24、▲支持通过IE浏览器设置登录超时时间，当登录后无操作时长达到设置阈值后，设备自动退出并重新进入登录界面。（须提供第三方检测机构出具的检测报告复印件，并加盖响应供应商公章）</w:t>
                  </w:r>
                </w:p>
                <w:p>
                  <w:r>
                    <w:rPr>
                      <w:b/>
                      <w:color w:val="000000"/>
                      <w:sz w:val="21"/>
                    </w:rPr>
                    <w:t>25、▲设备具有耀光抑制功能，耀光区域≤1%。（须提供第三方检测机构出具的检测报告复印件，并加盖响应供应商公章）</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台</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2</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智能网络高清监控摄像机</w:t>
                  </w:r>
                  <w:r>
                    <w:rPr>
                      <w:color w:val="000000"/>
                      <w:sz w:val="21"/>
                    </w:rPr>
                    <w:t>2</w:t>
                  </w:r>
                </w:p>
              </w:tc>
              <w:tc>
                <w:tcPr>
                  <w:tcW w:type="dxa" w:w="3382"/>
                  <w:tcBorders>
                    <w:top w:val="none" w:color="000000" w:sz="4"/>
                    <w:left w:val="none" w:color="000000" w:sz="4"/>
                    <w:bottom w:val="single" w:color="000000" w:sz="8"/>
                    <w:right w:val="single" w:color="000000" w:sz="8"/>
                  </w:tcBorders>
                  <w:vAlign w:val="top"/>
                </w:tcPr>
                <w:p>
                  <w:r>
                    <w:rPr>
                      <w:color w:val="000000"/>
                      <w:sz w:val="21"/>
                    </w:rPr>
                    <w:t>1、内置双镜头，不低于3颗图像传感器。</w:t>
                  </w:r>
                </w:p>
                <w:p>
                  <w:r>
                    <w:rPr>
                      <w:color w:val="000000"/>
                      <w:sz w:val="21"/>
                    </w:rPr>
                    <w:t>2、具有不小于1/1.8"靶面尺寸。</w:t>
                  </w:r>
                </w:p>
                <w:p>
                  <w:r>
                    <w:rPr>
                      <w:color w:val="000000"/>
                      <w:sz w:val="21"/>
                    </w:rPr>
                    <w:t>3、支持分别采集黑白及彩色图像，可对视频图像进行融合输出。</w:t>
                  </w:r>
                </w:p>
                <w:p>
                  <w:r>
                    <w:rPr>
                      <w:color w:val="000000"/>
                      <w:sz w:val="21"/>
                    </w:rPr>
                    <w:t>4、最低照度彩色不大于0.0002 lx，黑白不大于0.0001 lx。</w:t>
                  </w:r>
                </w:p>
                <w:p>
                  <w:r>
                    <w:rPr>
                      <w:color w:val="000000"/>
                      <w:sz w:val="21"/>
                    </w:rPr>
                    <w:t>5、内置至少4颗混合补光灯，每颗灯由红外灯、白光灯组成，在开启白光灯或混合补光灯时，可输出彩色视频图像。</w:t>
                  </w:r>
                </w:p>
                <w:p>
                  <w:pPr>
                    <w:jc w:val="both"/>
                  </w:pPr>
                  <w:r>
                    <w:rPr>
                      <w:color w:val="000000"/>
                      <w:sz w:val="21"/>
                    </w:rPr>
                    <w:t>6、通道一主码流分辨率不小于2560×1440@25fps，子码流不小于704×576@25fps，第三码流不小于1920×1080@25fps。通道二主码流分辨率不小于1920×1080@25fps，子码流不小于704×576@25fps，第三码流不小于1920×1080@25fps。</w:t>
                  </w:r>
                </w:p>
                <w:p>
                  <w:r>
                    <w:rPr>
                      <w:color w:val="000000"/>
                      <w:sz w:val="21"/>
                    </w:rPr>
                    <w:t>7、在分辨率1920×1080 @ 25fps，延时不大于70ms。</w:t>
                  </w:r>
                </w:p>
                <w:p>
                  <w:r>
                    <w:rPr>
                      <w:color w:val="000000"/>
                      <w:sz w:val="21"/>
                    </w:rPr>
                    <w:t>8、支持亮度异常、清晰度异常、花屏、雪花、偏色、画面冻结、增益失衡、画面抖动、条纹干扰、信号丢失、视频遮挡、光晕、紫边等故障报警功能。</w:t>
                  </w:r>
                </w:p>
                <w:p>
                  <w:r>
                    <w:rPr>
                      <w:color w:val="000000"/>
                      <w:sz w:val="21"/>
                    </w:rPr>
                    <w:t>9、同一静止场景相同图像质量下，设备在H.265编码方式时，开启智能编码功能和不开启智能编码相比，码率节约80%。</w:t>
                  </w:r>
                </w:p>
                <w:p>
                  <w:r>
                    <w:rPr>
                      <w:color w:val="000000"/>
                      <w:sz w:val="21"/>
                    </w:rPr>
                    <w:t>10、支持检出两眼瞳距20像素点以上的人脸图片。</w:t>
                  </w:r>
                </w:p>
                <w:p>
                  <w:r>
                    <w:rPr>
                      <w:color w:val="000000"/>
                      <w:sz w:val="21"/>
                    </w:rPr>
                    <w:t>11、支持人脸比对，比对准确率不低于99%。</w:t>
                  </w:r>
                </w:p>
                <w:p>
                  <w:r>
                    <w:rPr>
                      <w:color w:val="000000"/>
                      <w:sz w:val="21"/>
                    </w:rPr>
                    <w:t>12、支持侧脸过滤功能，可过滤上下、左右角度达到预设值的人脸。</w:t>
                  </w:r>
                </w:p>
                <w:p>
                  <w:r>
                    <w:rPr>
                      <w:color w:val="000000"/>
                      <w:sz w:val="21"/>
                    </w:rPr>
                    <w:t>13、支持对镜头前盖玻璃加热，去除玻璃上的冰状和水状附着物。</w:t>
                  </w:r>
                </w:p>
                <w:p>
                  <w:r>
                    <w:rPr>
                      <w:color w:val="000000"/>
                      <w:sz w:val="21"/>
                    </w:rPr>
                    <w:t>14、不低于IP68、IK10防护等级。</w:t>
                  </w:r>
                </w:p>
                <w:p>
                  <w:r>
                    <w:rPr>
                      <w:color w:val="000000"/>
                      <w:sz w:val="21"/>
                    </w:rPr>
                    <w:t>15、采用金属外壳。</w:t>
                  </w:r>
                </w:p>
                <w:p>
                  <w:r>
                    <w:rPr>
                      <w:color w:val="000000"/>
                      <w:sz w:val="21"/>
                    </w:rPr>
                    <w:t>16、设备通信报文中不存在明文格式的用户身份鉴别信息。</w:t>
                  </w:r>
                </w:p>
                <w:p>
                  <w:r>
                    <w:rPr>
                      <w:color w:val="000000"/>
                      <w:sz w:val="21"/>
                    </w:rPr>
                    <w:t>17、支持https通信协议，且https协议不存在已公布的漏洞。</w:t>
                  </w:r>
                </w:p>
                <w:p>
                  <w:r>
                    <w:rPr>
                      <w:color w:val="000000"/>
                      <w:sz w:val="21"/>
                    </w:rPr>
                    <w:t>18、设备默认不开启telnet、ftp和tftp服务，对未使用的服务及端口应默认关闭。</w:t>
                  </w:r>
                </w:p>
                <w:p>
                  <w:r>
                    <w:rPr>
                      <w:color w:val="000000"/>
                      <w:sz w:val="21"/>
                    </w:rPr>
                    <w:t>19、在IE 浏览器下，可通过扫描预览界面上的二维码获取设备资料。</w:t>
                  </w:r>
                </w:p>
                <w:p>
                  <w:r>
                    <w:rPr>
                      <w:color w:val="000000"/>
                      <w:sz w:val="21"/>
                    </w:rPr>
                    <w:t>20、支持固件安全检验功能，摄像机uboot应采用加密存储，通过离线烧写存储器方式写入的uboot执行程序，不能被硬件微引导程序加载执行。</w:t>
                  </w:r>
                </w:p>
                <w:p>
                  <w:r>
                    <w:rPr>
                      <w:b/>
                      <w:color w:val="000000"/>
                      <w:sz w:val="21"/>
                    </w:rPr>
                    <w:t>21、▲支持硬件微引导程序、uboot、OS、应用软件逐级校验功能，非法篡改的uboot、OS、应用软件固件包，不能通过命令行、浏览器、客户端方式进行升级。（须提供第三方检测机构出具的检测报告复印件，并加盖响应供应商公章）</w:t>
                  </w:r>
                </w:p>
                <w:p>
                  <w:r>
                    <w:rPr>
                      <w:b/>
                      <w:color w:val="000000"/>
                      <w:sz w:val="21"/>
                    </w:rPr>
                    <w:t>22、▲在IE浏览器下，具有设备重启和布防动态报警数据感知与记录功能，布防动态报警数据包括异常掉线、历史布防、实时布防3种类型；可记录报警的开始时间、结束时间、布防类型、报警链路地址、端口、链路续传。（须提供第三方检测机构出具的检测报告复印件，并加盖响应供应商公章）</w:t>
                  </w:r>
                </w:p>
                <w:p>
                  <w:r>
                    <w:rPr>
                      <w:b/>
                      <w:color w:val="000000"/>
                      <w:sz w:val="21"/>
                    </w:rPr>
                    <w:t>23、▲支持通过IE浏览器设置登录超时时间，当登录后无操作时长达到设置阈值后，设备自动退出并重新进入登录界面。（须提供第三方检测机构出具的检测报告复印件，并加盖响应供应商公章）</w:t>
                  </w:r>
                </w:p>
                <w:p>
                  <w:r>
                    <w:rPr>
                      <w:b/>
                      <w:color w:val="000000"/>
                      <w:sz w:val="21"/>
                    </w:rPr>
                    <w:t>24、▲设备具有耀光抑制功能，耀光区域≤1%。（须提供第三方检测机构出具的检测报告复印件，并加盖响应供应商公章）</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台　</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27</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3</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△多通道球型一体摄像机</w:t>
                  </w:r>
                </w:p>
              </w:tc>
              <w:tc>
                <w:tcPr>
                  <w:tcW w:type="dxa" w:w="3382"/>
                  <w:tcBorders>
                    <w:top w:val="none" w:color="000000" w:sz="4"/>
                    <w:left w:val="none" w:color="000000" w:sz="4"/>
                    <w:bottom w:val="single" w:color="000000" w:sz="8"/>
                    <w:right w:val="single" w:color="000000" w:sz="8"/>
                  </w:tcBorders>
                  <w:vAlign w:val="top"/>
                </w:tcPr>
                <w:p>
                  <w:r>
                    <w:rPr>
                      <w:b/>
                      <w:color w:val="000000"/>
                      <w:sz w:val="21"/>
                    </w:rPr>
                    <w:t>1、▲摄像机内置不少于3个镜头，可输出至少一路全景视频和一路细节视频，其中全景路内置不少于2个镜头，细节路内置1个镜头。（须提供第三方检测机构出具的检测报告复印件，并加盖响应供应商公章）</w:t>
                  </w:r>
                </w:p>
                <w:p>
                  <w:r>
                    <w:rPr>
                      <w:b/>
                      <w:color w:val="000000"/>
                      <w:sz w:val="21"/>
                    </w:rPr>
                    <w:t>2、▲全景通道内置2个镜头，光圈不小于F1.0，具有不小于1/1.8靶面尺寸，内置4颗补光灯。（须提供第三方检测机构出具的检测报告复印件，并加盖响应供应商公章）</w:t>
                  </w:r>
                </w:p>
                <w:p>
                  <w:r>
                    <w:rPr>
                      <w:color w:val="000000"/>
                      <w:sz w:val="21"/>
                    </w:rPr>
                    <w:t>3、细节通道内置镜头，支持不小于40倍光学变倍，镜头最大焦距不小于240mm，具备不小于1/1.8靶面尺寸，内置10颗红外补光灯及1颗白光灯。</w:t>
                  </w:r>
                </w:p>
                <w:p>
                  <w:r>
                    <w:rPr>
                      <w:color w:val="000000"/>
                      <w:sz w:val="21"/>
                    </w:rPr>
                    <w:t>4、内置不少于2个GPU芯片。</w:t>
                  </w:r>
                </w:p>
                <w:p>
                  <w:r>
                    <w:rPr>
                      <w:color w:val="000000"/>
                      <w:sz w:val="21"/>
                    </w:rPr>
                    <w:t>5、全景路视频图像分辨率不小于3840×1080，细节路视频图像分辨率不小于2560×1440。</w:t>
                  </w:r>
                </w:p>
                <w:p>
                  <w:r>
                    <w:rPr>
                      <w:color w:val="000000"/>
                      <w:sz w:val="21"/>
                    </w:rPr>
                    <w:t>6、支持最低照度可达彩色0.0002 lx，黑白0.0001 lx。</w:t>
                  </w:r>
                </w:p>
                <w:p>
                  <w:r>
                    <w:rPr>
                      <w:color w:val="000000"/>
                      <w:sz w:val="21"/>
                    </w:rPr>
                    <w:t>7、全景通道可输出两个镜头无缝拼接的全景图像，拼接偏差像素不大于4个像素，全景画面水平视场角不小于192°。</w:t>
                  </w:r>
                </w:p>
                <w:p>
                  <w:r>
                    <w:rPr>
                      <w:b/>
                      <w:color w:val="000000"/>
                      <w:sz w:val="21"/>
                    </w:rPr>
                    <w:t>8、▲全景通道可进行垂直旋转，旋转范围不低于10°可调。（须提供第三方检测机构出具的检测报告复印件，并加盖响应供应商公章）</w:t>
                  </w:r>
                </w:p>
                <w:p>
                  <w:r>
                    <w:rPr>
                      <w:color w:val="000000"/>
                      <w:sz w:val="21"/>
                    </w:rPr>
                    <w:t>9、摄像机可在预览画面及抓拍图片中叠加人员和车辆的移动轨迹，轨迹颜色支持红色、黄色、蓝色、绿色、及紫色，轨迹末尾具有一个方向箭头，指向目标离开的方向，抓拍图片大小不大于500KB。</w:t>
                  </w:r>
                </w:p>
                <w:p>
                  <w:r>
                    <w:rPr>
                      <w:color w:val="000000"/>
                      <w:sz w:val="21"/>
                    </w:rPr>
                    <w:t>10、红外距离不小于200米。</w:t>
                  </w:r>
                </w:p>
                <w:p>
                  <w:r>
                    <w:rPr>
                      <w:color w:val="000000"/>
                      <w:sz w:val="21"/>
                    </w:rPr>
                    <w:t>11、具备声音警戒功能，可设置11种警戒音、提示音、自定义语音，报警次数1～50次可设；可通过区域入侵侦测、越界侦测、进入区域侦测、离开区域侦测等报警事件，联动声音报警。</w:t>
                  </w:r>
                </w:p>
                <w:p>
                  <w:r>
                    <w:rPr>
                      <w:color w:val="000000"/>
                      <w:sz w:val="21"/>
                    </w:rPr>
                    <w:t>12、具备闪光灯警戒功能，可设置闪光灯闪烁时间（1-300），闪烁频率（高、中、低、常亮），亮度（1-100），当监控画面中有目标触发区域入侵侦测、越界侦测、进入区域侦测、离开区域侦测等报警时，可联动白光灯闪烁进行报警。</w:t>
                  </w:r>
                </w:p>
                <w:p>
                  <w:r>
                    <w:rPr>
                      <w:color w:val="000000"/>
                      <w:sz w:val="21"/>
                    </w:rPr>
                    <w:t>13、当篮球、小狗、树叶等非人或车辆目标经过检测区域时不会触发报警。</w:t>
                  </w:r>
                </w:p>
                <w:p>
                  <w:r>
                    <w:rPr>
                      <w:color w:val="000000"/>
                      <w:sz w:val="21"/>
                    </w:rPr>
                    <w:t>14、摄像机具备AR标签管理功能，可对监控区域的常规点位、卡口点位、人脸点位、重点道路等进行标签标注，最多可添加500个标签。</w:t>
                  </w:r>
                </w:p>
                <w:p>
                  <w:r>
                    <w:rPr>
                      <w:color w:val="000000"/>
                      <w:sz w:val="21"/>
                    </w:rPr>
                    <w:t>15、摄像机具备AR标签抖动漂移功能，当设备云台明显抖动、转动、或进行镜头变倍时，标签应跟随标定的目标物移动，并在画面中与目标物保持相对静止。</w:t>
                  </w:r>
                </w:p>
                <w:p>
                  <w:r>
                    <w:rPr>
                      <w:color w:val="000000"/>
                      <w:sz w:val="21"/>
                    </w:rPr>
                    <w:t>16、摄像机具备AR标签联动查看功能，选中标签并将标签置于屏幕中心位置进行显示，可通过点击视频画面中的标签查看标签内容并对标签关联的摄像机视频进行预览，并可通过点击摄像机预览窗口进行放大窗口操作。</w:t>
                  </w:r>
                </w:p>
                <w:p>
                  <w:r>
                    <w:rPr>
                      <w:color w:val="000000"/>
                      <w:sz w:val="21"/>
                    </w:rPr>
                    <w:t>17、开启混合目标检测模式后，设备可同时对行人、非机动车、机动车进行检测、跟踪、抓拍，可支持人脸与人体，车牌与车辆的关联显示。</w:t>
                  </w:r>
                </w:p>
                <w:p>
                  <w:r>
                    <w:rPr>
                      <w:color w:val="000000"/>
                      <w:sz w:val="21"/>
                    </w:rPr>
                    <w:t>18、设备进行违法停车检测时，镜头倍率为1倍情况下，白天有效检测距离最大为150米，其他倍率下，白天有效检测距离最大为300米。</w:t>
                  </w:r>
                </w:p>
                <w:p>
                  <w:r>
                    <w:rPr>
                      <w:color w:val="000000"/>
                      <w:sz w:val="21"/>
                    </w:rPr>
                    <w:t>19、设备可通过预置位设置16个预置违法检测场景，每个场景内可设置8条违法检测规则。</w:t>
                  </w:r>
                </w:p>
                <w:p>
                  <w:r>
                    <w:rPr>
                      <w:color w:val="000000"/>
                      <w:sz w:val="21"/>
                    </w:rPr>
                    <w:t>20、当预置违法检测场景内有违法规则被触发时，设备可联动报警输出和上传视频图像，并输出设定的语音信息。</w:t>
                  </w:r>
                </w:p>
                <w:p>
                  <w:pPr>
                    <w:jc w:val="both"/>
                  </w:pPr>
                  <w:r>
                    <w:rPr>
                      <w:color w:val="000000"/>
                      <w:sz w:val="21"/>
                    </w:rPr>
                    <w:t>21、设备支持掉头检测、压线抓拍、违法变道抓拍、逆行抓拍、机占非抓拍。图片模式应符合《GA/T832-2014道路交通安全违法行为图像取证技术规范》中模式一的相关规定。</w:t>
                  </w:r>
                </w:p>
                <w:p>
                  <w:r>
                    <w:rPr>
                      <w:color w:val="000000"/>
                      <w:sz w:val="21"/>
                    </w:rPr>
                    <w:t>22、设备支持违法取证图片单张上传或者多张合成上传，合成图片的数量（1~6张可选）可配置。</w:t>
                  </w:r>
                </w:p>
                <w:p>
                  <w:r>
                    <w:rPr>
                      <w:color w:val="000000"/>
                      <w:sz w:val="21"/>
                    </w:rPr>
                    <w:t>23、设备可通过客户端软件设置取证图片数量（1~6张可选）、抓拍图片间隔、并在图片上叠加车牌号码、车牌颜色、车辆类型、车身颜色、违法类型的名称及对应编号，违法类型的名称及对应编号可设置。</w:t>
                  </w:r>
                </w:p>
                <w:p>
                  <w:r>
                    <w:rPr>
                      <w:color w:val="000000"/>
                      <w:sz w:val="21"/>
                    </w:rPr>
                    <w:t>24、当有停车、逆行、压线、变道、掉头、拥堵、机动车占非机动车道现象被触发时，设备可分别发出不同的语音提示。</w:t>
                  </w:r>
                </w:p>
                <w:p>
                  <w:r>
                    <w:rPr>
                      <w:color w:val="000000"/>
                      <w:sz w:val="21"/>
                    </w:rPr>
                    <w:t>25、支持违法停车抓拍功能，白天违法停车捕获率、捕获有效率均不小于98%。</w:t>
                  </w:r>
                </w:p>
                <w:p>
                  <w:r>
                    <w:rPr>
                      <w:color w:val="000000"/>
                      <w:sz w:val="21"/>
                    </w:rPr>
                    <w:t>26、支持7路报警输入接口，2路报警输出接口，支持1路音频输入和输出接口。</w:t>
                  </w:r>
                </w:p>
                <w:p>
                  <w:r>
                    <w:rPr>
                      <w:b/>
                      <w:color w:val="000000"/>
                      <w:sz w:val="21"/>
                    </w:rPr>
                    <w:t>27、▲支持数据感知功能，可同时支持3路web监听通道，设备响应web端发送的查询请求，并返回对应的感知数据；断网重连后，报警信息可继续上传。（须提供第三方检测机构出具的检测报告复印件，并加盖响应供应商公章）</w:t>
                  </w:r>
                </w:p>
                <w:p>
                  <w:r>
                    <w:rPr>
                      <w:b/>
                      <w:color w:val="000000"/>
                      <w:sz w:val="21"/>
                    </w:rPr>
                    <w:t>28、▲支持硬件微引导程序、uboot、OS、应用软件逐级校验功能。非法篡改的uboot、OS、应用软件固件包，不能通过命令行、浏览器、客户端方式进行升级。（须提供第三方检测机构出具的检测报告复印件，并加盖响应供应商公章）</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台</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33</w:t>
                  </w:r>
                </w:p>
              </w:tc>
            </w:tr>
            <w:tr>
              <w:tc>
                <w:tcPr>
                  <w:tcW w:type="dxa" w:w="5599"/>
                  <w:gridSpan w:val="5"/>
                  <w:tcBorders>
                    <w:top w:val="none" w:color="000000" w:sz="4"/>
                    <w:left w:val="single" w:color="000000" w:sz="8"/>
                    <w:bottom w:val="single" w:color="000000" w:sz="8"/>
                    <w:right w:val="single" w:color="000000" w:sz="8"/>
                  </w:tcBorders>
                  <w:vAlign w:val="top"/>
                </w:tcPr>
                <w:p>
                  <w:r>
                    <w:rPr>
                      <w:b/>
                      <w:color w:val="000000"/>
                      <w:sz w:val="21"/>
                    </w:rPr>
                    <w:t>1.2、前端配套设备</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立杆</w:t>
                  </w:r>
                </w:p>
              </w:tc>
              <w:tc>
                <w:tcPr>
                  <w:tcW w:type="dxa" w:w="3382"/>
                  <w:tcBorders>
                    <w:top w:val="none" w:color="000000" w:sz="4"/>
                    <w:left w:val="none" w:color="000000" w:sz="4"/>
                    <w:bottom w:val="single" w:color="000000" w:sz="8"/>
                    <w:right w:val="single" w:color="000000" w:sz="8"/>
                  </w:tcBorders>
                  <w:vAlign w:val="top"/>
                </w:tcPr>
                <w:p>
                  <w:pPr>
                    <w:jc w:val="both"/>
                  </w:pPr>
                  <w:r>
                    <w:rPr>
                      <w:color w:val="000000"/>
                      <w:sz w:val="21"/>
                    </w:rPr>
                    <w:t>1、5m圆锥杆；</w:t>
                  </w:r>
                </w:p>
                <w:p>
                  <w:pPr>
                    <w:jc w:val="both"/>
                  </w:pPr>
                  <w:r>
                    <w:rPr>
                      <w:color w:val="000000"/>
                      <w:sz w:val="21"/>
                    </w:rPr>
                    <w:t>2、钢材材质为Q235普通碳素结构钢（GB/T 700-2006），主杆为圆形锥杆，上对角90mm，下对角162mm，厚度4.0mm，横臂为60mm，厚度3.0mm，达到抵抗36米/秒风力。</w:t>
                  </w:r>
                </w:p>
                <w:p>
                  <w:pPr>
                    <w:jc w:val="both"/>
                  </w:pPr>
                  <w:r>
                    <w:rPr>
                      <w:color w:val="000000"/>
                      <w:sz w:val="21"/>
                    </w:rPr>
                    <w:t>3、杆体内外热镀锌后（镀锌层大于等于86UM）喷纯聚酯粉末漆，颜色：整体全白上端红白间隔。</w:t>
                  </w:r>
                </w:p>
                <w:p>
                  <w:pPr>
                    <w:jc w:val="both"/>
                  </w:pPr>
                  <w:r>
                    <w:rPr>
                      <w:color w:val="000000"/>
                      <w:sz w:val="21"/>
                    </w:rPr>
                    <w:t>4、含地脚螺栓、横臂法兰螺栓、螺母、垫片等必要配件。</w:t>
                  </w:r>
                </w:p>
                <w:p>
                  <w:pPr>
                    <w:jc w:val="both"/>
                  </w:pPr>
                  <w:r>
                    <w:rPr>
                      <w:color w:val="000000"/>
                      <w:sz w:val="21"/>
                    </w:rPr>
                    <w:t>5、在底座上3m、4m、6m处各预留4个横臂法兰；</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个</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30</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2</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立杆基础开挖</w:t>
                  </w:r>
                </w:p>
              </w:tc>
              <w:tc>
                <w:tcPr>
                  <w:tcW w:type="dxa" w:w="3382"/>
                  <w:tcBorders>
                    <w:top w:val="none" w:color="000000" w:sz="4"/>
                    <w:left w:val="none" w:color="000000" w:sz="4"/>
                    <w:bottom w:val="single" w:color="000000" w:sz="8"/>
                    <w:right w:val="single" w:color="000000" w:sz="8"/>
                  </w:tcBorders>
                  <w:vAlign w:val="top"/>
                </w:tcPr>
                <w:p>
                  <w:r>
                    <w:rPr>
                      <w:color w:val="000000"/>
                      <w:sz w:val="21"/>
                    </w:rPr>
                    <w:t>1、基坑尺寸800×800×1100，不低于C25强度水泥浇筑回填；</w:t>
                  </w:r>
                </w:p>
                <w:p>
                  <w:r>
                    <w:rPr>
                      <w:color w:val="000000"/>
                      <w:sz w:val="21"/>
                    </w:rPr>
                    <w:t>2、含不少于3根φ50PE预埋进线管、含垃圾废渣外运、路面原样恢复等。</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个</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30</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3</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基础预埋件</w:t>
                  </w:r>
                </w:p>
              </w:tc>
              <w:tc>
                <w:tcPr>
                  <w:tcW w:type="dxa" w:w="3382"/>
                  <w:tcBorders>
                    <w:top w:val="none" w:color="000000" w:sz="4"/>
                    <w:left w:val="none" w:color="000000" w:sz="4"/>
                    <w:bottom w:val="single" w:color="000000" w:sz="8"/>
                    <w:right w:val="single" w:color="000000" w:sz="8"/>
                  </w:tcBorders>
                  <w:vAlign w:val="top"/>
                </w:tcPr>
                <w:p>
                  <w:r>
                    <w:rPr>
                      <w:color w:val="000000"/>
                      <w:sz w:val="21"/>
                    </w:rPr>
                    <w:t>1、预埋件尺寸不少于450×450×800，主筋不低于45号钢M22；</w:t>
                  </w:r>
                </w:p>
                <w:p>
                  <w:r>
                    <w:rPr>
                      <w:color w:val="000000"/>
                      <w:sz w:val="21"/>
                    </w:rPr>
                    <w:t>2、含定位板、螺母、垫片、箍筋等配套；</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个</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30</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4</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立杆接地</w:t>
                  </w:r>
                </w:p>
              </w:tc>
              <w:tc>
                <w:tcPr>
                  <w:tcW w:type="dxa" w:w="3382"/>
                  <w:tcBorders>
                    <w:top w:val="none" w:color="000000" w:sz="4"/>
                    <w:left w:val="none" w:color="000000" w:sz="4"/>
                    <w:bottom w:val="single" w:color="000000" w:sz="8"/>
                    <w:right w:val="single" w:color="000000" w:sz="8"/>
                  </w:tcBorders>
                  <w:vAlign w:val="top"/>
                </w:tcPr>
                <w:p>
                  <w:r>
                    <w:rPr>
                      <w:color w:val="000000"/>
                      <w:sz w:val="21"/>
                    </w:rPr>
                    <w:t>地阻</w:t>
                  </w:r>
                  <w:r>
                    <w:rPr>
                      <w:color w:val="000000"/>
                      <w:sz w:val="21"/>
                    </w:rPr>
                    <w:t>10欧以下含接地网</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项</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30</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5</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横臂支架</w:t>
                  </w:r>
                </w:p>
              </w:tc>
              <w:tc>
                <w:tcPr>
                  <w:tcW w:type="dxa" w:w="3382"/>
                  <w:tcBorders>
                    <w:top w:val="none" w:color="000000" w:sz="4"/>
                    <w:left w:val="none" w:color="000000" w:sz="4"/>
                    <w:bottom w:val="single" w:color="000000" w:sz="8"/>
                    <w:right w:val="single" w:color="000000" w:sz="8"/>
                  </w:tcBorders>
                  <w:vAlign w:val="top"/>
                </w:tcPr>
                <w:p>
                  <w:r>
                    <w:rPr>
                      <w:color w:val="000000"/>
                      <w:sz w:val="21"/>
                    </w:rPr>
                    <w:t>壁装、借杆、</w:t>
                  </w:r>
                  <w:r>
                    <w:rPr>
                      <w:color w:val="000000"/>
                      <w:sz w:val="21"/>
                    </w:rPr>
                    <w:t>U型伸缩安装横臂，横臂0.5m-2m不等，含支撑臂、支架、抱箍、万向节等必要配件</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套</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67</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6</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防水监控电箱</w:t>
                  </w:r>
                </w:p>
              </w:tc>
              <w:tc>
                <w:tcPr>
                  <w:tcW w:type="dxa" w:w="3382"/>
                  <w:tcBorders>
                    <w:top w:val="none" w:color="000000" w:sz="4"/>
                    <w:left w:val="none" w:color="000000" w:sz="4"/>
                    <w:bottom w:val="single" w:color="000000" w:sz="8"/>
                    <w:right w:val="single" w:color="000000" w:sz="8"/>
                  </w:tcBorders>
                  <w:vAlign w:val="top"/>
                </w:tcPr>
                <w:p>
                  <w:r>
                    <w:rPr>
                      <w:color w:val="000000"/>
                      <w:sz w:val="21"/>
                    </w:rPr>
                    <w:t>1、1.2mm热镀锌钢板，表面喷涂，喷涂颜色与杆一致或白色；</w:t>
                  </w:r>
                </w:p>
                <w:p>
                  <w:r>
                    <w:rPr>
                      <w:color w:val="000000"/>
                      <w:sz w:val="21"/>
                    </w:rPr>
                    <w:t>2、设备箱规格不低于400×200×560mm；</w:t>
                  </w:r>
                </w:p>
                <w:p>
                  <w:r>
                    <w:rPr>
                      <w:color w:val="000000"/>
                      <w:sz w:val="21"/>
                    </w:rPr>
                    <w:t>3、配置专用空开，防雷器，自动重合闸，2个万用插座，接地排，熔纤盒，光纤固定夹，2把带温控风扇；</w:t>
                  </w:r>
                </w:p>
                <w:p>
                  <w:r>
                    <w:rPr>
                      <w:color w:val="000000"/>
                      <w:sz w:val="21"/>
                    </w:rPr>
                    <w:t>4、防护等级：不低于IP65级；</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个</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39</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7</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二合一防雷器</w:t>
                  </w:r>
                </w:p>
              </w:tc>
              <w:tc>
                <w:tcPr>
                  <w:tcW w:type="dxa" w:w="3382"/>
                  <w:tcBorders>
                    <w:top w:val="none" w:color="000000" w:sz="4"/>
                    <w:left w:val="none" w:color="000000" w:sz="4"/>
                    <w:bottom w:val="single" w:color="000000" w:sz="8"/>
                    <w:right w:val="single" w:color="000000" w:sz="8"/>
                  </w:tcBorders>
                  <w:vAlign w:val="top"/>
                </w:tcPr>
                <w:p>
                  <w:r>
                    <w:rPr>
                      <w:color w:val="000000"/>
                      <w:sz w:val="21"/>
                    </w:rPr>
                    <w:t>电源防雷、网络防雷二合一；</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个</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71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8</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光纤收发器</w:t>
                  </w:r>
                </w:p>
              </w:tc>
              <w:tc>
                <w:tcPr>
                  <w:tcW w:type="dxa" w:w="3382"/>
                  <w:tcBorders>
                    <w:top w:val="none" w:color="000000" w:sz="4"/>
                    <w:left w:val="none" w:color="000000" w:sz="4"/>
                    <w:bottom w:val="single" w:color="000000" w:sz="8"/>
                    <w:right w:val="single" w:color="000000" w:sz="8"/>
                  </w:tcBorders>
                  <w:vAlign w:val="top"/>
                </w:tcPr>
                <w:p>
                  <w:r>
                    <w:rPr>
                      <w:color w:val="000000"/>
                      <w:sz w:val="21"/>
                    </w:rPr>
                    <w:t>1、光纤收发器工业导轨式发送机；</w:t>
                  </w:r>
                </w:p>
                <w:p>
                  <w:r>
                    <w:rPr>
                      <w:color w:val="000000"/>
                      <w:sz w:val="21"/>
                    </w:rPr>
                    <w:t>2、光口：1个千兆光口；</w:t>
                  </w:r>
                </w:p>
                <w:p>
                  <w:r>
                    <w:rPr>
                      <w:color w:val="000000"/>
                      <w:sz w:val="21"/>
                    </w:rPr>
                    <w:t>3、传输距离：20公里；</w:t>
                  </w:r>
                </w:p>
                <w:p>
                  <w:r>
                    <w:rPr>
                      <w:color w:val="000000"/>
                      <w:sz w:val="21"/>
                    </w:rPr>
                    <w:t>4、光纤类型：单模单纤；</w:t>
                  </w:r>
                </w:p>
                <w:p>
                  <w:r>
                    <w:rPr>
                      <w:color w:val="000000"/>
                      <w:sz w:val="21"/>
                    </w:rPr>
                    <w:t>5、电口：1个千兆网口、3个百兆电口。</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个</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35</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9</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前端工业级交换机</w:t>
                  </w:r>
                </w:p>
              </w:tc>
              <w:tc>
                <w:tcPr>
                  <w:tcW w:type="dxa" w:w="3382"/>
                  <w:tcBorders>
                    <w:top w:val="none" w:color="000000" w:sz="4"/>
                    <w:left w:val="none" w:color="000000" w:sz="4"/>
                    <w:bottom w:val="single" w:color="000000" w:sz="8"/>
                    <w:right w:val="single" w:color="000000" w:sz="8"/>
                  </w:tcBorders>
                  <w:vAlign w:val="top"/>
                </w:tcPr>
                <w:p>
                  <w:r>
                    <w:rPr>
                      <w:color w:val="000000"/>
                      <w:sz w:val="21"/>
                    </w:rPr>
                    <w:t>1、工业级交换机；</w:t>
                  </w:r>
                </w:p>
                <w:p>
                  <w:r>
                    <w:rPr>
                      <w:color w:val="000000"/>
                      <w:sz w:val="21"/>
                    </w:rPr>
                    <w:t>2、规格:不少于4电口千兆交换机；</w:t>
                  </w:r>
                </w:p>
                <w:p>
                  <w:r>
                    <w:rPr>
                      <w:color w:val="000000"/>
                      <w:sz w:val="21"/>
                    </w:rPr>
                    <w:t>3、背板带宽≥8Gbps，包转发率≥5.95Mpps。</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个</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10</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电源线</w:t>
                  </w:r>
                </w:p>
              </w:tc>
              <w:tc>
                <w:tcPr>
                  <w:tcW w:type="dxa" w:w="3382"/>
                  <w:tcBorders>
                    <w:top w:val="none" w:color="000000" w:sz="4"/>
                    <w:left w:val="none" w:color="000000" w:sz="4"/>
                    <w:bottom w:val="single" w:color="000000" w:sz="8"/>
                    <w:right w:val="single" w:color="000000" w:sz="8"/>
                  </w:tcBorders>
                  <w:vAlign w:val="top"/>
                </w:tcPr>
                <w:p>
                  <w:r>
                    <w:rPr>
                      <w:color w:val="000000"/>
                      <w:sz w:val="21"/>
                    </w:rPr>
                    <w:t>RVV 3×2.5 ，符合国标；</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项</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11</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网线</w:t>
                  </w:r>
                </w:p>
              </w:tc>
              <w:tc>
                <w:tcPr>
                  <w:tcW w:type="dxa" w:w="3382"/>
                  <w:tcBorders>
                    <w:top w:val="none" w:color="000000" w:sz="4"/>
                    <w:left w:val="none" w:color="000000" w:sz="4"/>
                    <w:bottom w:val="single" w:color="000000" w:sz="8"/>
                    <w:right w:val="single" w:color="000000" w:sz="8"/>
                  </w:tcBorders>
                  <w:vAlign w:val="top"/>
                </w:tcPr>
                <w:p>
                  <w:r>
                    <w:rPr>
                      <w:color w:val="000000"/>
                      <w:sz w:val="21"/>
                    </w:rPr>
                    <w:t>cat5e，符合国标；</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项</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12</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2芯室内皮纤</w:t>
                  </w:r>
                </w:p>
              </w:tc>
              <w:tc>
                <w:tcPr>
                  <w:tcW w:type="dxa" w:w="3382"/>
                  <w:tcBorders>
                    <w:top w:val="none" w:color="000000" w:sz="4"/>
                    <w:left w:val="none" w:color="000000" w:sz="4"/>
                    <w:bottom w:val="single" w:color="000000" w:sz="8"/>
                    <w:right w:val="single" w:color="000000" w:sz="8"/>
                  </w:tcBorders>
                  <w:vAlign w:val="top"/>
                </w:tcPr>
                <w:p>
                  <w:r>
                    <w:rPr>
                      <w:color w:val="000000"/>
                      <w:sz w:val="21"/>
                    </w:rPr>
                    <w:t>GJXH-2B6，符合国标；</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项</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13</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PVC管</w:t>
                  </w:r>
                </w:p>
              </w:tc>
              <w:tc>
                <w:tcPr>
                  <w:tcW w:type="dxa" w:w="3382"/>
                  <w:tcBorders>
                    <w:top w:val="none" w:color="000000" w:sz="4"/>
                    <w:left w:val="none" w:color="000000" w:sz="4"/>
                    <w:bottom w:val="single" w:color="000000" w:sz="8"/>
                    <w:right w:val="single" w:color="000000" w:sz="8"/>
                  </w:tcBorders>
                  <w:vAlign w:val="top"/>
                </w:tcPr>
                <w:p>
                  <w:r>
                    <w:rPr>
                      <w:color w:val="000000"/>
                      <w:sz w:val="21"/>
                    </w:rPr>
                    <w:t>25PVC管，符合国标；</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项</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14</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非过路线管敷设施工</w:t>
                  </w:r>
                </w:p>
              </w:tc>
              <w:tc>
                <w:tcPr>
                  <w:tcW w:type="dxa" w:w="3382"/>
                  <w:tcBorders>
                    <w:top w:val="none" w:color="000000" w:sz="4"/>
                    <w:left w:val="none" w:color="000000" w:sz="4"/>
                    <w:bottom w:val="single" w:color="000000" w:sz="8"/>
                    <w:right w:val="single" w:color="000000" w:sz="8"/>
                  </w:tcBorders>
                  <w:vAlign w:val="top"/>
                </w:tcPr>
                <w:p>
                  <w:r>
                    <w:rPr>
                      <w:color w:val="000000"/>
                      <w:sz w:val="21"/>
                    </w:rPr>
                    <w:t>1、户外综合土质，截面尺寸500×600mm，敷设不低于1根线管；</w:t>
                  </w:r>
                </w:p>
                <w:p>
                  <w:r>
                    <w:rPr>
                      <w:color w:val="000000"/>
                      <w:sz w:val="21"/>
                    </w:rPr>
                    <w:t>2、含垃圾外运，回填、路面修复。</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项</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15</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线管明敷钉墙施工</w:t>
                  </w:r>
                </w:p>
              </w:tc>
              <w:tc>
                <w:tcPr>
                  <w:tcW w:type="dxa" w:w="3382"/>
                  <w:tcBorders>
                    <w:top w:val="none" w:color="000000" w:sz="4"/>
                    <w:left w:val="none" w:color="000000" w:sz="4"/>
                    <w:bottom w:val="single" w:color="000000" w:sz="8"/>
                    <w:right w:val="single" w:color="000000" w:sz="8"/>
                  </w:tcBorders>
                  <w:vAlign w:val="top"/>
                </w:tcPr>
                <w:p>
                  <w:r>
                    <w:rPr>
                      <w:color w:val="000000"/>
                      <w:sz w:val="21"/>
                    </w:rPr>
                    <w:t>沿建筑物墙身明敷、沿杆体引上引下；</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项</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16</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辅材</w:t>
                  </w:r>
                </w:p>
              </w:tc>
              <w:tc>
                <w:tcPr>
                  <w:tcW w:type="dxa" w:w="3382"/>
                  <w:tcBorders>
                    <w:top w:val="none" w:color="000000" w:sz="4"/>
                    <w:left w:val="none" w:color="000000" w:sz="4"/>
                    <w:bottom w:val="single" w:color="000000" w:sz="8"/>
                    <w:right w:val="single" w:color="000000" w:sz="8"/>
                  </w:tcBorders>
                  <w:vAlign w:val="top"/>
                </w:tcPr>
                <w:p>
                  <w:r>
                    <w:rPr>
                      <w:color w:val="000000"/>
                      <w:sz w:val="21"/>
                    </w:rPr>
                    <w:t>涉及到的各类配件、计量表、光纤跳线、网络跳线、水晶头等辅材；</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套</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17</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设备安装吊车费用</w:t>
                  </w:r>
                </w:p>
              </w:tc>
              <w:tc>
                <w:tcPr>
                  <w:tcW w:type="dxa" w:w="3382"/>
                  <w:tcBorders>
                    <w:top w:val="none" w:color="000000" w:sz="4"/>
                    <w:left w:val="none" w:color="000000" w:sz="4"/>
                    <w:bottom w:val="single" w:color="000000" w:sz="8"/>
                    <w:right w:val="single" w:color="000000" w:sz="8"/>
                  </w:tcBorders>
                  <w:vAlign w:val="top"/>
                </w:tcPr>
                <w:p>
                  <w:r>
                    <w:rPr>
                      <w:color w:val="000000"/>
                      <w:sz w:val="21"/>
                    </w:rPr>
                    <w:t>租赁高空设备安装费用</w:t>
                  </w:r>
                  <w:r>
                    <w:rPr>
                      <w:color w:val="000000"/>
                      <w:sz w:val="21"/>
                    </w:rPr>
                    <w:t>5米杆件安装及设备安装；</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点</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30</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18</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前端设备安装调测费</w:t>
                  </w:r>
                </w:p>
              </w:tc>
              <w:tc>
                <w:tcPr>
                  <w:tcW w:type="dxa" w:w="3382"/>
                  <w:tcBorders>
                    <w:top w:val="none" w:color="000000" w:sz="4"/>
                    <w:left w:val="none" w:color="000000" w:sz="4"/>
                    <w:bottom w:val="single" w:color="000000" w:sz="8"/>
                    <w:right w:val="single" w:color="000000" w:sz="8"/>
                  </w:tcBorders>
                  <w:vAlign w:val="top"/>
                </w:tcPr>
                <w:p>
                  <w:r>
                    <w:rPr>
                      <w:color w:val="000000"/>
                      <w:sz w:val="21"/>
                    </w:rPr>
                    <w:t>前端设备安装、照射角度调整、光纤跳线，字符等调测；</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台</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71</w:t>
                  </w:r>
                </w:p>
              </w:tc>
            </w:tr>
            <w:tr>
              <w:tc>
                <w:tcPr>
                  <w:tcW w:type="dxa" w:w="5599"/>
                  <w:gridSpan w:val="5"/>
                  <w:tcBorders>
                    <w:top w:val="none" w:color="000000" w:sz="4"/>
                    <w:left w:val="single" w:color="000000" w:sz="8"/>
                    <w:bottom w:val="single" w:color="000000" w:sz="8"/>
                    <w:right w:val="single" w:color="000000" w:sz="8"/>
                  </w:tcBorders>
                  <w:vAlign w:val="top"/>
                </w:tcPr>
                <w:p>
                  <w:r>
                    <w:rPr>
                      <w:b/>
                      <w:color w:val="000000"/>
                      <w:sz w:val="21"/>
                    </w:rPr>
                    <w:t>1.3、机房设备</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千兆光模块</w:t>
                  </w:r>
                </w:p>
              </w:tc>
              <w:tc>
                <w:tcPr>
                  <w:tcW w:type="dxa" w:w="3382"/>
                  <w:tcBorders>
                    <w:top w:val="none" w:color="000000" w:sz="4"/>
                    <w:left w:val="none" w:color="000000" w:sz="4"/>
                    <w:bottom w:val="single" w:color="000000" w:sz="8"/>
                    <w:right w:val="single" w:color="000000" w:sz="8"/>
                  </w:tcBorders>
                  <w:vAlign w:val="top"/>
                </w:tcPr>
                <w:p>
                  <w:r>
                    <w:rPr>
                      <w:color w:val="000000"/>
                      <w:sz w:val="21"/>
                    </w:rPr>
                    <w:t>1、SFP-GE-千兆单纤单模模块；</w:t>
                  </w:r>
                </w:p>
                <w:p>
                  <w:r>
                    <w:rPr>
                      <w:color w:val="000000"/>
                      <w:sz w:val="21"/>
                    </w:rPr>
                    <w:t>2、1310/1550nm,20-40km,LC；</w:t>
                  </w:r>
                </w:p>
                <w:p>
                  <w:r>
                    <w:rPr>
                      <w:color w:val="000000"/>
                      <w:sz w:val="21"/>
                    </w:rPr>
                    <w:t>3、含跳线；</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个</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33</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2</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ODF配线架</w:t>
                  </w:r>
                </w:p>
              </w:tc>
              <w:tc>
                <w:tcPr>
                  <w:tcW w:type="dxa" w:w="3382"/>
                  <w:tcBorders>
                    <w:top w:val="none" w:color="000000" w:sz="4"/>
                    <w:left w:val="none" w:color="000000" w:sz="4"/>
                    <w:bottom w:val="single" w:color="000000" w:sz="8"/>
                    <w:right w:val="single" w:color="000000" w:sz="8"/>
                  </w:tcBorders>
                  <w:vAlign w:val="top"/>
                </w:tcPr>
                <w:p>
                  <w:r>
                    <w:rPr>
                      <w:color w:val="000000"/>
                      <w:sz w:val="21"/>
                    </w:rPr>
                    <w:t>1U48芯配线架、48个光纤FC耦合器，含托盘、跳线熔接；</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个</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3</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存储服务器主机</w:t>
                  </w:r>
                </w:p>
              </w:tc>
              <w:tc>
                <w:tcPr>
                  <w:tcW w:type="dxa" w:w="3382"/>
                  <w:tcBorders>
                    <w:top w:val="none" w:color="000000" w:sz="4"/>
                    <w:left w:val="none" w:color="000000" w:sz="4"/>
                    <w:bottom w:val="single" w:color="000000" w:sz="8"/>
                    <w:right w:val="single" w:color="000000" w:sz="8"/>
                  </w:tcBorders>
                  <w:vAlign w:val="top"/>
                </w:tcPr>
                <w:p>
                  <w:r>
                    <w:rPr>
                      <w:b/>
                      <w:color w:val="000000"/>
                      <w:sz w:val="21"/>
                    </w:rPr>
                    <w:t>1、▲基础认证：产品应提供国标28181认证证书。（须提供证书复印件并加盖响应供应商公章）</w:t>
                  </w:r>
                </w:p>
                <w:p>
                  <w:r>
                    <w:rPr>
                      <w:color w:val="000000"/>
                      <w:sz w:val="21"/>
                    </w:rPr>
                    <w:t>2、系统架构：云存储系统采用无元数据的全对称分布式架构，支持Scale-out横向扩展，可线性扩展系统的容量及性能。</w:t>
                  </w:r>
                </w:p>
                <w:p>
                  <w:r>
                    <w:rPr>
                      <w:color w:val="000000"/>
                      <w:sz w:val="21"/>
                    </w:rPr>
                    <w:t>3、虚拟化：支持存储空间虚拟化管理，将所有物理存储资源虚拟化成统一的存储空间，提供全局统一的命名空间，对外提供唯一的业务IP地址访问。</w:t>
                  </w:r>
                </w:p>
                <w:p>
                  <w:r>
                    <w:rPr>
                      <w:b/>
                      <w:color w:val="000000"/>
                      <w:sz w:val="21"/>
                    </w:rPr>
                    <w:t>4、▲物理形态：设备高度≤4U，硬盘槽位≥40盘位。（须提供第三方检测机构出具的检测报告复印件，并加盖响应供应商公章）</w:t>
                  </w:r>
                </w:p>
                <w:p>
                  <w:r>
                    <w:rPr>
                      <w:color w:val="000000"/>
                      <w:sz w:val="21"/>
                    </w:rPr>
                    <w:t>5、硬件配置：支持配置两颗64位英特尔至强可扩展处理器。</w:t>
                  </w:r>
                </w:p>
                <w:p>
                  <w:r>
                    <w:rPr>
                      <w:color w:val="000000"/>
                      <w:sz w:val="21"/>
                    </w:rPr>
                    <w:t>6、具备24个内存卡槽，可组成12个内存通道；支持内存数量增加，也支持单槽内存条容量的扩展，单槽最大支持128G内存。</w:t>
                  </w:r>
                </w:p>
                <w:p>
                  <w:r>
                    <w:rPr>
                      <w:color w:val="000000"/>
                      <w:sz w:val="21"/>
                    </w:rPr>
                    <w:t>7、支持数据盘和系统盘分离，系统盘为独立的二块SAS或SSD盘，组成RAID1。</w:t>
                  </w:r>
                </w:p>
                <w:p>
                  <w:r>
                    <w:rPr>
                      <w:color w:val="000000"/>
                      <w:sz w:val="21"/>
                    </w:rPr>
                    <w:t>8、具有4个PCIE插槽，可支持配置4端口千兆、2端口万兆扩展网卡、GPU卡等。</w:t>
                  </w:r>
                </w:p>
                <w:p>
                  <w:r>
                    <w:rPr>
                      <w:b/>
                      <w:color w:val="000000"/>
                      <w:sz w:val="21"/>
                    </w:rPr>
                    <w:t>9、▲配置不低于两颗10核至强可扩展处理器、64GB内存、2块480G SSD系统盘、36块14TB 7200转企业级SATA硬盘、4个千兆网口、2个万兆光口。</w:t>
                  </w:r>
                </w:p>
                <w:p>
                  <w:r>
                    <w:rPr>
                      <w:b/>
                      <w:color w:val="000000"/>
                      <w:sz w:val="21"/>
                    </w:rPr>
                    <w:t>10、▲支持双铂金电源，支持热插拔，一个电源损坏的情况下，仍可正常运行。（须提供第三方检测机构出具的检测报告复印件，并加盖响应供应商公章）</w:t>
                  </w:r>
                </w:p>
                <w:p>
                  <w:r>
                    <w:rPr>
                      <w:b/>
                      <w:color w:val="000000"/>
                      <w:sz w:val="21"/>
                    </w:rPr>
                    <w:t>11、▲具有四个风扇，风扇支持20档转速调节，可根据工作状态进行调速。（须提供第三方检测机构出具的检测报告复印件，并加盖响应供应商公章）</w:t>
                  </w:r>
                </w:p>
                <w:p>
                  <w:r>
                    <w:rPr>
                      <w:color w:val="000000"/>
                      <w:sz w:val="21"/>
                    </w:rPr>
                    <w:t>12、性能：读写性能带宽总计可达512MB/s。</w:t>
                  </w:r>
                </w:p>
                <w:p>
                  <w:r>
                    <w:rPr>
                      <w:color w:val="000000"/>
                      <w:sz w:val="21"/>
                    </w:rPr>
                    <w:t>13、视图直存：支持视频、音频、图片、文件直接写入系统，数据流无需经过其他中转服务器。</w:t>
                  </w:r>
                </w:p>
                <w:p>
                  <w:r>
                    <w:rPr>
                      <w:color w:val="000000"/>
                      <w:sz w:val="21"/>
                    </w:rPr>
                    <w:t>14、冗余策略：在冗余策略满足条件下，允许多块硬盘故障，读写业务不受影响，可持续进行；允许多个故障，支持间以多种速度进行数据恢复和重构，读写业务不受影响，可持续进行。</w:t>
                  </w:r>
                </w:p>
                <w:p>
                  <w:r>
                    <w:rPr>
                      <w:color w:val="000000"/>
                      <w:sz w:val="21"/>
                    </w:rPr>
                    <w:t>15、支持维护模式，开启维护模式后，不会对本进行数据迁移，且禁止删除本或对本进行添加或删除硬盘操作，维护模式关闭后，可对本硬盘进行添加或删除操作，并可对数据进行自动平衡。</w:t>
                  </w:r>
                </w:p>
                <w:p>
                  <w:r>
                    <w:rPr>
                      <w:b/>
                      <w:color w:val="000000"/>
                      <w:sz w:val="21"/>
                    </w:rPr>
                    <w:t>16、▲域功能：支持保护域和故障域设置，可将业务数据保存在配置范围内，范围内硬件故障造成的数据重构只在配置范围内，不影响范围外其它硬件运行以及业务数据使用。（须提供第三方检测机构出具的检测报告复印件，并加盖响应供应商公章）</w:t>
                  </w:r>
                </w:p>
                <w:p>
                  <w:r>
                    <w:rPr>
                      <w:color w:val="000000"/>
                      <w:sz w:val="21"/>
                    </w:rPr>
                    <w:t>17、负载均衡：支持提供统一的域名访问入口，可根据CPU/内存压力，已使用容量等多种方式负载均衡。</w:t>
                  </w:r>
                </w:p>
                <w:p>
                  <w:r>
                    <w:rPr>
                      <w:color w:val="000000"/>
                      <w:sz w:val="21"/>
                    </w:rPr>
                    <w:t>18、支持间业务动态负载均衡，如一个故障，该上的业务可自动均衡分配到其他；支持新增时负载均衡，原有磁盘上的数据可迁移到新磁盘上。</w:t>
                  </w:r>
                </w:p>
                <w:p>
                  <w:r>
                    <w:rPr>
                      <w:color w:val="000000"/>
                      <w:sz w:val="21"/>
                    </w:rPr>
                    <w:t>19、支持间的自动业务负载均衡，差距小于2%；支持间的存储容量负载均衡，各上的存储数据量在稳定情况下，存储容量使用率差距小于1%。</w:t>
                  </w:r>
                </w:p>
                <w:p>
                  <w:r>
                    <w:rPr>
                      <w:color w:val="000000"/>
                      <w:sz w:val="21"/>
                    </w:rPr>
                    <w:t>20、双设备管理：支持的双系统管理，支持一键主备系统切换。</w:t>
                  </w:r>
                </w:p>
                <w:p>
                  <w:r>
                    <w:rPr>
                      <w:color w:val="000000"/>
                      <w:sz w:val="21"/>
                    </w:rPr>
                    <w:t>21、运维管理：系统运维不需要额外服务器，支持对各上的硬件组件（CPU、内存、风扇、电源、硬盘等）工作状态进行监测以及报警，并可根据设置的阈值输出报警级别。</w:t>
                  </w:r>
                </w:p>
                <w:p>
                  <w:r>
                    <w:rPr>
                      <w:color w:val="000000"/>
                      <w:sz w:val="21"/>
                    </w:rPr>
                    <w:t>22、支持查看云存储系统的网络结构拓补图，拓补图中可查看单台主机运行情况。</w:t>
                  </w:r>
                </w:p>
                <w:p>
                  <w:r>
                    <w:rPr>
                      <w:color w:val="000000"/>
                      <w:sz w:val="21"/>
                    </w:rPr>
                    <w:t>23、重构速度：数据重建速度可达2TB/h。</w:t>
                  </w:r>
                </w:p>
                <w:p>
                  <w:r>
                    <w:rPr>
                      <w:b/>
                      <w:color w:val="000000"/>
                      <w:sz w:val="21"/>
                    </w:rPr>
                    <w:t>24、▲重构QoS：磁盘故障后，根据业务情况，支持修改硬盘重构比例以调整硬盘的重构速度。支持设置IOPS或带宽性能上限（Qos）。（须提供第三方检测机构出具的检测报告复印件，并加盖响应供应商公章）</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台</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4</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硬盘</w:t>
                  </w:r>
                </w:p>
              </w:tc>
              <w:tc>
                <w:tcPr>
                  <w:tcW w:type="dxa" w:w="3382"/>
                  <w:tcBorders>
                    <w:top w:val="none" w:color="000000" w:sz="4"/>
                    <w:left w:val="none" w:color="000000" w:sz="4"/>
                    <w:bottom w:val="single" w:color="000000" w:sz="8"/>
                    <w:right w:val="single" w:color="000000" w:sz="8"/>
                  </w:tcBorders>
                  <w:vAlign w:val="top"/>
                </w:tcPr>
                <w:p>
                  <w:r>
                    <w:rPr>
                      <w:color w:val="000000"/>
                      <w:sz w:val="21"/>
                    </w:rPr>
                    <w:t>14TB 6G SATA 7.2K 3.5in HDD；含云存储授权</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块</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36</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5</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辅材</w:t>
                  </w:r>
                </w:p>
              </w:tc>
              <w:tc>
                <w:tcPr>
                  <w:tcW w:type="dxa" w:w="3382"/>
                  <w:tcBorders>
                    <w:top w:val="none" w:color="000000" w:sz="4"/>
                    <w:left w:val="none" w:color="000000" w:sz="4"/>
                    <w:bottom w:val="single" w:color="000000" w:sz="8"/>
                    <w:right w:val="single" w:color="000000" w:sz="8"/>
                  </w:tcBorders>
                  <w:vAlign w:val="top"/>
                </w:tcPr>
                <w:p>
                  <w:r>
                    <w:rPr>
                      <w:color w:val="000000"/>
                      <w:sz w:val="21"/>
                    </w:rPr>
                    <w:t>涉及到的各类配件、光纤跳线、尾纤、网络线、水晶头、护线套等辅材；</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套</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6</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机房设备安装费</w:t>
                  </w:r>
                </w:p>
              </w:tc>
              <w:tc>
                <w:tcPr>
                  <w:tcW w:type="dxa" w:w="3382"/>
                  <w:tcBorders>
                    <w:top w:val="none" w:color="000000" w:sz="4"/>
                    <w:left w:val="none" w:color="000000" w:sz="4"/>
                    <w:bottom w:val="single" w:color="000000" w:sz="8"/>
                    <w:right w:val="single" w:color="000000" w:sz="8"/>
                  </w:tcBorders>
                  <w:vAlign w:val="top"/>
                </w:tcPr>
                <w:p>
                  <w:r>
                    <w:rPr>
                      <w:color w:val="000000"/>
                      <w:sz w:val="21"/>
                    </w:rPr>
                    <w:t>机房设备安装调试费用</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项</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r>
              <w:tc>
                <w:tcPr>
                  <w:tcW w:type="dxa" w:w="5599"/>
                  <w:gridSpan w:val="5"/>
                  <w:tcBorders>
                    <w:top w:val="none" w:color="000000" w:sz="4"/>
                    <w:left w:val="single" w:color="000000" w:sz="8"/>
                    <w:bottom w:val="single" w:color="000000" w:sz="8"/>
                    <w:right w:val="single" w:color="000000" w:sz="8"/>
                  </w:tcBorders>
                  <w:vAlign w:val="top"/>
                </w:tcPr>
                <w:p>
                  <w:r>
                    <w:rPr>
                      <w:b/>
                      <w:color w:val="000000"/>
                      <w:sz w:val="21"/>
                    </w:rPr>
                    <w:t>2、链路建设</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光纤链路建设</w:t>
                  </w:r>
                </w:p>
              </w:tc>
              <w:tc>
                <w:tcPr>
                  <w:tcW w:type="dxa" w:w="3382"/>
                  <w:tcBorders>
                    <w:top w:val="none" w:color="000000" w:sz="4"/>
                    <w:left w:val="none" w:color="000000" w:sz="4"/>
                    <w:bottom w:val="single" w:color="000000" w:sz="8"/>
                    <w:right w:val="single" w:color="000000" w:sz="8"/>
                  </w:tcBorders>
                  <w:vAlign w:val="top"/>
                </w:tcPr>
                <w:p>
                  <w:r>
                    <w:rPr>
                      <w:color w:val="000000"/>
                      <w:sz w:val="21"/>
                    </w:rPr>
                    <w:t>租赁运营商点对点裸光纤，连通至禅城分局机房，</w:t>
                  </w:r>
                  <w:r>
                    <w:rPr>
                      <w:color w:val="000000"/>
                      <w:sz w:val="21"/>
                    </w:rPr>
                    <w:t>24个月</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条</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33</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2</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光纤链路建设初装费</w:t>
                  </w:r>
                </w:p>
              </w:tc>
              <w:tc>
                <w:tcPr>
                  <w:tcW w:type="dxa" w:w="3382"/>
                  <w:tcBorders>
                    <w:top w:val="none" w:color="000000" w:sz="4"/>
                    <w:left w:val="none" w:color="000000" w:sz="4"/>
                    <w:bottom w:val="single" w:color="000000" w:sz="8"/>
                    <w:right w:val="single" w:color="000000" w:sz="8"/>
                  </w:tcBorders>
                  <w:vAlign w:val="top"/>
                </w:tcPr>
                <w:p>
                  <w:r>
                    <w:rPr>
                      <w:color w:val="000000"/>
                      <w:sz w:val="21"/>
                    </w:rPr>
                    <w:t>含光纤链路开户，分纤施工到监控箱，必要光纤转换设备等</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条</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33</w:t>
                  </w:r>
                </w:p>
              </w:tc>
            </w:tr>
            <w:tr>
              <w:tc>
                <w:tcPr>
                  <w:tcW w:type="dxa" w:w="5599"/>
                  <w:gridSpan w:val="5"/>
                  <w:tcBorders>
                    <w:top w:val="none" w:color="000000" w:sz="4"/>
                    <w:left w:val="single" w:color="000000" w:sz="8"/>
                    <w:bottom w:val="single" w:color="000000" w:sz="8"/>
                    <w:right w:val="single" w:color="000000" w:sz="8"/>
                  </w:tcBorders>
                  <w:vAlign w:val="top"/>
                </w:tcPr>
                <w:p>
                  <w:r>
                    <w:rPr>
                      <w:b/>
                      <w:color w:val="000000"/>
                      <w:sz w:val="21"/>
                    </w:rPr>
                    <w:t>3、电费</w:t>
                  </w:r>
                </w:p>
              </w:tc>
            </w:tr>
            <w:tr>
              <w:tc>
                <w:tcPr>
                  <w:tcW w:type="dxa" w:w="450"/>
                  <w:tcBorders>
                    <w:top w:val="none" w:color="000000" w:sz="4"/>
                    <w:left w:val="single" w:color="000000" w:sz="8"/>
                    <w:bottom w:val="single" w:color="000000" w:sz="8"/>
                    <w:right w:val="single" w:color="000000" w:sz="8"/>
                  </w:tcBorders>
                  <w:vAlign w:val="top"/>
                </w:tcPr>
                <w:p>
                  <w:pPr>
                    <w:jc w:val="center"/>
                  </w:pPr>
                  <w:r>
                    <w:rPr>
                      <w:color w:val="000000"/>
                      <w:sz w:val="21"/>
                    </w:rPr>
                    <w:t>1</w:t>
                  </w:r>
                </w:p>
              </w:tc>
              <w:tc>
                <w:tcPr>
                  <w:tcW w:type="dxa" w:w="771"/>
                  <w:tcBorders>
                    <w:top w:val="none" w:color="000000" w:sz="4"/>
                    <w:left w:val="none" w:color="000000" w:sz="4"/>
                    <w:bottom w:val="single" w:color="000000" w:sz="8"/>
                    <w:right w:val="single" w:color="000000" w:sz="8"/>
                  </w:tcBorders>
                  <w:vAlign w:val="top"/>
                </w:tcPr>
                <w:p>
                  <w:pPr>
                    <w:jc w:val="center"/>
                  </w:pPr>
                  <w:r>
                    <w:rPr>
                      <w:color w:val="000000"/>
                      <w:sz w:val="21"/>
                    </w:rPr>
                    <w:t>前端设备电费</w:t>
                  </w:r>
                </w:p>
              </w:tc>
              <w:tc>
                <w:tcPr>
                  <w:tcW w:type="dxa" w:w="3382"/>
                  <w:tcBorders>
                    <w:top w:val="none" w:color="000000" w:sz="4"/>
                    <w:left w:val="none" w:color="000000" w:sz="4"/>
                    <w:bottom w:val="single" w:color="000000" w:sz="8"/>
                    <w:right w:val="single" w:color="000000" w:sz="8"/>
                  </w:tcBorders>
                  <w:vAlign w:val="top"/>
                </w:tcPr>
                <w:p>
                  <w:r>
                    <w:rPr>
                      <w:color w:val="000000"/>
                      <w:sz w:val="21"/>
                    </w:rPr>
                    <w:t>含报装电表</w:t>
                  </w:r>
                  <w:r>
                    <w:rPr>
                      <w:color w:val="000000"/>
                      <w:sz w:val="21"/>
                    </w:rPr>
                    <w:t>/借电点位两年电费，71路</w:t>
                  </w:r>
                </w:p>
              </w:tc>
              <w:tc>
                <w:tcPr>
                  <w:tcW w:type="dxa" w:w="514"/>
                  <w:tcBorders>
                    <w:top w:val="none" w:color="000000" w:sz="4"/>
                    <w:left w:val="none" w:color="000000" w:sz="4"/>
                    <w:bottom w:val="single" w:color="000000" w:sz="8"/>
                    <w:right w:val="single" w:color="000000" w:sz="8"/>
                  </w:tcBorders>
                  <w:vAlign w:val="top"/>
                </w:tcPr>
                <w:p>
                  <w:pPr>
                    <w:jc w:val="center"/>
                  </w:pPr>
                  <w:r>
                    <w:rPr>
                      <w:color w:val="000000"/>
                      <w:sz w:val="21"/>
                    </w:rPr>
                    <w:t>项</w:t>
                  </w:r>
                </w:p>
              </w:tc>
              <w:tc>
                <w:tcPr>
                  <w:tcW w:type="dxa" w:w="482"/>
                  <w:tcBorders>
                    <w:top w:val="none" w:color="000000" w:sz="4"/>
                    <w:left w:val="none" w:color="000000" w:sz="4"/>
                    <w:bottom w:val="single" w:color="000000" w:sz="8"/>
                    <w:right w:val="single" w:color="000000" w:sz="8"/>
                  </w:tcBorders>
                  <w:vAlign w:val="top"/>
                </w:tcPr>
                <w:p>
                  <w:pPr>
                    <w:jc w:val="center"/>
                  </w:pPr>
                  <w:r>
                    <w:rPr>
                      <w:color w:val="000000"/>
                      <w:sz w:val="21"/>
                    </w:rPr>
                    <w:t>1</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佛山市公安局禅城分局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采购机构代理服务收费标准：差额定率累进法收费，参照国家计委《招标代理服务收费管理暂行办法》（计价格[2002]1980号）、国家发改委[2003]857号及发改价格[2011]534号文件中规定“货物类”计算。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1，因本项目为竞争性磋商方式，需要进行最终报价，磋商时,响应供应商自行登录系统进行最终报价。</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4，本竞争性磋商文件内要求的扫描件或复印件，可以是原件的扫描件，也可以是复印件的扫描件。扫描件性质上可视为复印件。</w:t>
            </w:r>
          </w:p>
          <w:p>
            <w:pPr>
              <w:jc w:val="left"/>
            </w:pPr>
            <w:r>
              <w:rPr/>
              <w:t>5，最终报价是否需要响应供应商加盖公章以磋商时磋商小组系统设置为准，如本竞争性磋商文件与此描述有不一致的，以此描述为准。</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佛山市公共资源交易网（http://ggzy.foshan.gov.cn/）、佛山市公共资源交易中心禅城分中心（http://ccggzy.chancheng.gov.cn/）及采购代理机构网站（www.fssxyzx.com）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佛山市公共资源交易网（http://ggzy.foshan.gov.cn/）、佛山市公共资源交易中心禅城分中心（http://ccggzy.chancheng.gov.cn/）及采购代理机构网站（www.fssxyzx.com）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528200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佛山地铁2号线禅城区段外围视频监控建设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采购包1（佛山地铁2号线禅城区段外围视频监控建设项目）：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最后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采购包1（佛山地铁2号线禅城区段外围视频监控建设项目）：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副本复印件。分支机构参与磋商的，须提供总公司和分公司营业执照副本复印件，总公司出具给分支机构的授权书，分支机构可沿用总公司的各项资质材料证明。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提供响应文件递交截止日前6个月内（含截止日当月）任意1个月缴纳税收和社会保险的凭据证明材料复印件；如依法免税或不需要缴纳社会保障资金的，提供相应证明材料。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提供2021年度财务状况报告或响应文件递交截止日前6个月内（不含截止日当月）任意1个月的财务状况报告复印件，或基本开户行出具的资信证明复印件。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特定资格要求</w:t>
            </w:r>
          </w:p>
        </w:tc>
        <w:tc>
          <w:tcPr>
            <w:tcW w:type="dxa" w:w="4238"/>
          </w:tcPr>
          <w:p>
            <w:r>
              <w:rPr/>
              <w:t>供应商须具有有效的公安部门颁发的《广东省安全技术防范系统设计、施工、维修资格证》叁级或以上资质证书（非广东省企业须提供所在地公安部门颁发的有效的《安全技术防范系统设计、施工、维修资格证》叁级或以上资质证书和广东省公安部门颁发的备案证明，或者提供安防行业协会颁发的有效的叁级或以上安防工程企业设计施工维护能力证书和广东省公安部门颁发的备案证明）。（须提供相关证明材料复印件加盖供应商公章）。</w:t>
            </w:r>
          </w:p>
        </w:tc>
      </w:tr>
      <w:tr>
        <w:tc>
          <w:tcPr>
            <w:tcW w:type="dxa" w:w="890"/>
          </w:tcPr>
          <w:p>
            <w:r>
              <w:rPr/>
              <w:t>9</w:t>
            </w:r>
          </w:p>
        </w:tc>
        <w:tc>
          <w:tcPr>
            <w:tcW w:type="dxa" w:w="3178"/>
          </w:tcPr>
          <w:p>
            <w:r>
              <w:rPr/>
              <w:t>落实政府采购政策需满足的资格要求</w:t>
            </w:r>
          </w:p>
        </w:tc>
        <w:tc>
          <w:tcPr>
            <w:tcW w:type="dxa" w:w="4238"/>
          </w:tcPr>
          <w:p>
            <w:r>
              <w:rPr/>
              <w:t>采购包不属于专门面向中小企业采购项目。</w:t>
            </w:r>
          </w:p>
        </w:tc>
      </w:tr>
    </w:tbl>
    <w:p/>
    <w:p>
      <w:pPr>
        <w:ind w:firstLine="480"/>
      </w:pPr>
      <w:r>
        <w:rPr/>
        <w:t>表二符合性审查表：</w:t>
      </w:r>
    </w:p>
    <w:p>
      <w:pPr>
        <w:ind w:firstLine="480"/>
      </w:pPr>
    </w:p>
    <w:p/>
    <w:p>
      <w:r>
        <w:rPr/>
        <w:t>采购包1（佛山地铁2号线禅城区段外围视频监控建设项目）：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无效情形</w:t>
            </w:r>
          </w:p>
        </w:tc>
        <w:tc>
          <w:tcPr>
            <w:tcW w:type="dxa" w:w="4238"/>
          </w:tcPr>
          <w:p>
            <w:r>
              <w:rPr/>
              <w:t>响应文件没有竞争性磋商文件中规定的其它无效投标条款的；</w:t>
            </w:r>
          </w:p>
        </w:tc>
      </w:tr>
      <w:tr>
        <w:tc>
          <w:tcPr>
            <w:tcW w:type="dxa" w:w="890"/>
          </w:tcPr>
          <w:p>
            <w:r>
              <w:rPr/>
              <w:t>5</w:t>
            </w:r>
          </w:p>
        </w:tc>
        <w:tc>
          <w:tcPr>
            <w:tcW w:type="dxa" w:w="3178"/>
          </w:tcPr>
          <w:p>
            <w:r>
              <w:rPr/>
              <w:t>其他</w:t>
            </w:r>
          </w:p>
        </w:tc>
        <w:tc>
          <w:tcPr>
            <w:tcW w:type="dxa" w:w="4238"/>
          </w:tcPr>
          <w:p>
            <w:r>
              <w:rPr/>
              <w:t>按有关法律、法规、规章不属于响应无效的。</w:t>
            </w:r>
          </w:p>
        </w:tc>
      </w:tr>
      <w:tr>
        <w:tc>
          <w:tcPr>
            <w:tcW w:type="dxa" w:w="890"/>
          </w:tcPr>
          <w:p>
            <w:r>
              <w:rPr/>
              <w:t>6</w:t>
            </w:r>
          </w:p>
        </w:tc>
        <w:tc>
          <w:tcPr>
            <w:tcW w:type="dxa" w:w="3178"/>
          </w:tcPr>
          <w:p>
            <w:r>
              <w:rPr/>
              <w:t>首次报价</w:t>
            </w:r>
          </w:p>
        </w:tc>
        <w:tc>
          <w:tcPr>
            <w:tcW w:type="dxa" w:w="4238"/>
          </w:tcPr>
          <w:p>
            <w:r>
              <w:rPr/>
              <w:t>首次报价未超过本项目采购预算。</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采购包1佛山地铁2号线禅城区段外围视频监控建设项目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对设备技术参数响应情况 (20.0分)</w:t>
            </w:r>
          </w:p>
        </w:tc>
        <w:tc>
          <w:tcPr>
            <w:tcW w:type="dxa" w:w="5076"/>
          </w:tcPr>
          <w:p>
            <w:pPr>
              <w:jc w:val="left"/>
            </w:pPr>
            <w:r>
              <w:rPr/>
              <w:t>根据响应供应商对《采购需求》中加注“▲”技术要求条款的技术指标，每响应或满足一个得1分，最高得20分。 注：采购需求要求提供证明资料的，须提供对应要求的证明资料加盖响应供应商公章；采购需求未要求提供证明资料的，须提供所投产品彩页【技术白皮书或产品说明书】或制造商的公开网址链接及参数截图或厂家对所投设备技术参数出具的证明文件扫描件加盖响应供应商公章。</w:t>
            </w:r>
          </w:p>
        </w:tc>
      </w:tr>
      <w:tr>
        <w:tc>
          <w:tcPr>
            <w:tcW w:type="dxa" w:w="922"/>
            <w:gridSpan w:val="2"/>
            <w:vMerge/>
          </w:tcPr>
          <w:p/>
        </w:tc>
        <w:tc>
          <w:tcPr>
            <w:tcW w:type="dxa" w:w="2307"/>
          </w:tcPr>
          <w:p>
            <w:pPr>
              <w:jc w:val="left"/>
            </w:pPr>
            <w:r>
              <w:rPr/>
              <w:t>拟投入人员情况 (2.0分)</w:t>
            </w:r>
          </w:p>
        </w:tc>
        <w:tc>
          <w:tcPr>
            <w:tcW w:type="dxa" w:w="5076"/>
          </w:tcPr>
          <w:p>
            <w:pPr>
              <w:jc w:val="left"/>
            </w:pPr>
            <w:r>
              <w:rPr/>
              <w:t>根据响应供应商拟投入本项目的服务人员中（项目负责人除外）具有安防行业职业能力证书或资格证书的，每提供一人得1分，最高得2分。 注：须提供相关证书扫描件及响应供应商为其缴纳的近半年内（扣除开标当月）任意一个月社保证明扫描件加盖响应供应商公章。</w:t>
            </w:r>
          </w:p>
        </w:tc>
      </w:tr>
      <w:tr>
        <w:tc>
          <w:tcPr>
            <w:tcW w:type="dxa" w:w="922"/>
            <w:gridSpan w:val="2"/>
            <w:vMerge/>
          </w:tcPr>
          <w:p/>
        </w:tc>
        <w:tc>
          <w:tcPr>
            <w:tcW w:type="dxa" w:w="2307"/>
          </w:tcPr>
          <w:p>
            <w:pPr>
              <w:jc w:val="left"/>
            </w:pPr>
            <w:r>
              <w:rPr/>
              <w:t>项目实施方案 (8.0分)</w:t>
            </w:r>
            <w:r>
              <w:rPr/>
              <w:t>，（等次分值选择：</w:t>
            </w:r>
            <w:r>
              <w:rPr/>
              <w:t>0.0;</w:t>
            </w:r>
            <w:r>
              <w:rPr/>
              <w:t>1.0;</w:t>
            </w:r>
            <w:r>
              <w:rPr/>
              <w:t>3.0;</w:t>
            </w:r>
            <w:r>
              <w:rPr/>
              <w:t>5.0;</w:t>
            </w:r>
            <w:r>
              <w:rPr/>
              <w:t>8.0;</w:t>
            </w:r>
            <w:r>
              <w:rPr/>
              <w:t>）</w:t>
            </w:r>
          </w:p>
        </w:tc>
        <w:tc>
          <w:tcPr>
            <w:tcW w:type="dxa" w:w="5076"/>
          </w:tcPr>
          <w:p>
            <w:pPr>
              <w:jc w:val="left"/>
            </w:pPr>
            <w:r>
              <w:rPr/>
              <w:t>根据响应供应商针对本项目制定的项目整体实施方案（包括但不限于项目总体实施思路、材料制定工艺、技术措施、设备安装及调试、施工安全措施、设备设施维护方案等）进行评审： 1、方案内容全面细致、科学合理，能充分结合项目采购要求提出具有针对性的措施且切实可行的得8分； 2、方案内容全面细致、合理性较强，能结合项目采购要求提出可行性较强的措施的得5分； 3、方案内容基本完整、基本合理，提出的措施基本符合项目实际要求的得3分； 4、方案内容不太完整，与项目实际有部分偏离的得1分； 5、不提供不得分。</w:t>
            </w:r>
          </w:p>
        </w:tc>
      </w:tr>
      <w:tr>
        <w:tc>
          <w:tcPr>
            <w:tcW w:type="dxa" w:w="922"/>
            <w:gridSpan w:val="2"/>
            <w:vMerge/>
          </w:tcPr>
          <w:p/>
        </w:tc>
        <w:tc>
          <w:tcPr>
            <w:tcW w:type="dxa" w:w="2307"/>
          </w:tcPr>
          <w:p>
            <w:pPr>
              <w:jc w:val="left"/>
            </w:pPr>
            <w:r>
              <w:rPr/>
              <w:t>项目进度计划和保障措施 (5.0分)</w:t>
            </w:r>
            <w:r>
              <w:rPr/>
              <w:t>，（等次分值选择：</w:t>
            </w:r>
            <w:r>
              <w:rPr/>
              <w:t>0.0;</w:t>
            </w:r>
            <w:r>
              <w:rPr/>
              <w:t>1.0;</w:t>
            </w:r>
            <w:r>
              <w:rPr/>
              <w:t>3.0;</w:t>
            </w:r>
            <w:r>
              <w:rPr/>
              <w:t>5.0;</w:t>
            </w:r>
            <w:r>
              <w:rPr/>
              <w:t>）</w:t>
            </w:r>
          </w:p>
        </w:tc>
        <w:tc>
          <w:tcPr>
            <w:tcW w:type="dxa" w:w="5076"/>
          </w:tcPr>
          <w:p>
            <w:pPr>
              <w:jc w:val="left"/>
            </w:pPr>
            <w:r>
              <w:rPr/>
              <w:t>根据响应供应商针对本项目制定的进度计划和保障措施（包括但不限于项目进度计划及相关保障措施等）进行评审： 1、项目进度计划明确、具体，非常符合本项目的实际需求，且制定的保障措施科学合理，针对性强的得5分； 2、项目进度计划基本明确，符合本项目的实际需求，且制定的保障措施基本合理，具有一定针对性的得3分； 3、项目进度计划模糊，不太符合本项目的实际需求，且保障措施不太合理，缺乏针对性的得1分； 4、不提供不得分。</w:t>
            </w:r>
          </w:p>
        </w:tc>
      </w:tr>
      <w:tr>
        <w:tc>
          <w:tcPr>
            <w:tcW w:type="dxa" w:w="922"/>
            <w:gridSpan w:val="2"/>
            <w:vMerge/>
          </w:tcPr>
          <w:p/>
        </w:tc>
        <w:tc>
          <w:tcPr>
            <w:tcW w:type="dxa" w:w="2307"/>
          </w:tcPr>
          <w:p>
            <w:pPr>
              <w:jc w:val="left"/>
            </w:pPr>
            <w:r>
              <w:rPr/>
              <w:t>服务保障方案 (10.0分)</w:t>
            </w:r>
            <w:r>
              <w:rPr/>
              <w:t>，（等次分值选择：</w:t>
            </w:r>
            <w:r>
              <w:rPr/>
              <w:t>0.0;</w:t>
            </w:r>
            <w:r>
              <w:rPr/>
              <w:t>1.0;</w:t>
            </w:r>
            <w:r>
              <w:rPr/>
              <w:t>4.0;</w:t>
            </w:r>
            <w:r>
              <w:rPr/>
              <w:t>7.0;</w:t>
            </w:r>
            <w:r>
              <w:rPr/>
              <w:t>10.0;</w:t>
            </w:r>
            <w:r>
              <w:rPr/>
              <w:t>）</w:t>
            </w:r>
          </w:p>
        </w:tc>
        <w:tc>
          <w:tcPr>
            <w:tcW w:type="dxa" w:w="5076"/>
          </w:tcPr>
          <w:p>
            <w:pPr>
              <w:jc w:val="left"/>
            </w:pPr>
            <w:r>
              <w:rPr/>
              <w:t>根据响应供应商提供针对项目的服务保障方案，从服务机构设置、售后服务内容、流程、售后服务响应时间等内容进行评审： 1、服务机构设置合理，售后服务内容、流程完善、可行，售后响应时间快，服务方案周全、合理且可实施性强，得10分； 2、服务机构设置较合理，售后服务内容、流程较完善、可行，售后响应时间较快，服务方案较周全、合理且可实施性较强，得7分； 3、服务机构设置基本合理，售后服务内容、流程不够完善，售后响应时间长，有基本的服务方案，有一定的合理性和实施性，得4分； 4、服务机构设置不合理或售后响应时间较长，服务方案不完整，可行性差，得1分。 5、不提供不得分</w:t>
            </w:r>
          </w:p>
        </w:tc>
      </w:tr>
      <w:tr>
        <w:tc>
          <w:tcPr>
            <w:tcW w:type="dxa" w:w="922"/>
            <w:gridSpan w:val="2"/>
            <w:vMerge w:val="restart"/>
          </w:tcPr>
          <w:p>
            <w:pPr>
              <w:jc w:val="center"/>
            </w:pPr>
            <w:r>
              <w:rPr/>
              <w:t>商务部分</w:t>
            </w:r>
          </w:p>
        </w:tc>
        <w:tc>
          <w:tcPr>
            <w:tcW w:type="dxa" w:w="2307"/>
          </w:tcPr>
          <w:p>
            <w:pPr>
              <w:jc w:val="left"/>
            </w:pPr>
            <w:r>
              <w:rPr/>
              <w:t>企业认证 (8.0分)</w:t>
            </w:r>
          </w:p>
        </w:tc>
        <w:tc>
          <w:tcPr>
            <w:tcW w:type="dxa" w:w="5076"/>
          </w:tcPr>
          <w:p>
            <w:pPr>
              <w:jc w:val="left"/>
            </w:pPr>
            <w:r>
              <w:rPr/>
              <w:t>根据响应供应商具有由国家认证认可监督管理部门批准设立的认证机构颁发并在有效期内的认证证书，每提供一项证书得2分，最高得8分： 1、质量管理体系认证证书； 2、信息安全管理体系认证证书； 3、环境管理体系认证证书； 4、信息技术服务管理体系认证证书； 注：须提供有效证书扫描件并加盖响应供应商公章，否则不得分。</w:t>
            </w:r>
          </w:p>
        </w:tc>
      </w:tr>
      <w:tr>
        <w:tc>
          <w:tcPr>
            <w:tcW w:type="dxa" w:w="922"/>
            <w:gridSpan w:val="2"/>
            <w:vMerge/>
          </w:tcPr>
          <w:p/>
        </w:tc>
        <w:tc>
          <w:tcPr>
            <w:tcW w:type="dxa" w:w="2307"/>
          </w:tcPr>
          <w:p>
            <w:pPr>
              <w:jc w:val="left"/>
            </w:pPr>
            <w:r>
              <w:rPr/>
              <w:t>同类项目业绩 (10.0分)</w:t>
            </w:r>
          </w:p>
        </w:tc>
        <w:tc>
          <w:tcPr>
            <w:tcW w:type="dxa" w:w="5076"/>
          </w:tcPr>
          <w:p>
            <w:pPr>
              <w:jc w:val="left"/>
            </w:pPr>
            <w:r>
              <w:rPr/>
              <w:t>根据响应供应商2018年1月1日至今（以合同签订时间为准）具有以响应供应商名义独立完成的同类项目（同类项目指的是业绩合同主要内容中包含有视频监控类设备安装或视频监控类系统建设等）业绩的，每提供一项得2分，最高得10分。 注：须同时提供合同的关键页扫描件（须包含签订合同双方的单位名称、合同项目名称、签订合同双方的落款盖章、签订日期等）并加盖响应供应商公章作为证明材料，否则不得分。</w:t>
            </w:r>
          </w:p>
        </w:tc>
      </w:tr>
      <w:tr>
        <w:tc>
          <w:tcPr>
            <w:tcW w:type="dxa" w:w="922"/>
            <w:gridSpan w:val="2"/>
            <w:vMerge/>
          </w:tcPr>
          <w:p/>
        </w:tc>
        <w:tc>
          <w:tcPr>
            <w:tcW w:type="dxa" w:w="2307"/>
          </w:tcPr>
          <w:p>
            <w:pPr>
              <w:jc w:val="left"/>
            </w:pPr>
            <w:r>
              <w:rPr/>
              <w:t>企业实力 (3.0分)</w:t>
            </w:r>
          </w:p>
        </w:tc>
        <w:tc>
          <w:tcPr>
            <w:tcW w:type="dxa" w:w="5076"/>
          </w:tcPr>
          <w:p>
            <w:pPr>
              <w:jc w:val="left"/>
            </w:pPr>
            <w:r>
              <w:rPr/>
              <w:t>响应供应商或响应供应商所投产品制造商自2019年1月1日至今（以证书颁发时间为准）获得人民政府或行业行政主管部门或经民政部门批准成立的相关行业协会颁发的电子信息相关的荣誉证书或优秀企业类证书的得3分；本项最高得3分。 注：须提供有效的证书扫描件或相关证明材料扫描件并加盖响应供应商公章作为证明材料。不提供或提供的不符合要求不得分。</w:t>
            </w:r>
          </w:p>
        </w:tc>
      </w:tr>
      <w:tr>
        <w:tc>
          <w:tcPr>
            <w:tcW w:type="dxa" w:w="922"/>
            <w:gridSpan w:val="2"/>
            <w:vMerge/>
          </w:tcPr>
          <w:p/>
        </w:tc>
        <w:tc>
          <w:tcPr>
            <w:tcW w:type="dxa" w:w="2307"/>
          </w:tcPr>
          <w:p>
            <w:pPr>
              <w:jc w:val="left"/>
            </w:pPr>
            <w:r>
              <w:rPr/>
              <w:t>拟投入车辆情况 (4.0分)</w:t>
            </w:r>
          </w:p>
        </w:tc>
        <w:tc>
          <w:tcPr>
            <w:tcW w:type="dxa" w:w="5076"/>
          </w:tcPr>
          <w:p>
            <w:pPr>
              <w:jc w:val="left"/>
            </w:pPr>
            <w:r>
              <w:rPr/>
              <w:t>根据响应供应商拟投入本项目车辆数量进行评审： 1、拟投入本项目机动车交通工具（摩托车除外）数量≥3辆，得4分； 2、3辆＞拟投入本项目机动车交通工具（摩托车除外）数量≥1辆，得2分。 注：自有车辆须提供车辆行驶证扫描件（车辆所有人为响应供应商或其法定代表人）并加盖响应供应商公章；租赁车辆须提供以响应供应商（或其法定代表人）名义签订的租赁协议扫描件（租赁开始时间应不晚于招标公告前一个月）、车辆行驶证扫描件并加盖响应供应商公章。不提供或提供的不符合要求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磋商小组根据综合评分情况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color w:val="000000"/>
          <w:sz w:val="68"/>
        </w:rPr>
        <w:t>佛山市政府采购项目</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b/>
          <w:sz w:val="27"/>
        </w:rPr>
        <w:t>甲　　方：</w:t>
      </w:r>
      <w:r>
        <w:rPr>
          <w:sz w:val="27"/>
          <w:u w:val="single"/>
        </w:rPr>
        <w:t xml:space="preserve">　　 </w:t>
      </w:r>
      <w:r>
        <w:rPr>
          <w:color w:val="000000"/>
          <w:sz w:val="28"/>
          <w:u w:val="single"/>
        </w:rPr>
        <w:t xml:space="preserve"> </w:t>
      </w:r>
      <w:r>
        <w:rPr>
          <w:color w:val="000000"/>
          <w:sz w:val="28"/>
          <w:u w:val="single"/>
        </w:rPr>
        <w:t>采购人名称</w:t>
      </w:r>
      <w:r>
        <w:rPr>
          <w:sz w:val="27"/>
          <w:u w:val="single"/>
        </w:rPr>
        <w:t>　　    　</w:t>
      </w:r>
    </w:p>
    <w:p>
      <w:pPr>
        <w:jc w:val="center"/>
      </w:pPr>
      <w:r>
        <w:rPr>
          <w:b/>
          <w:sz w:val="27"/>
        </w:rPr>
        <w:t>乙　　方：</w:t>
      </w:r>
      <w:r>
        <w:rPr>
          <w:color w:val="000000"/>
          <w:sz w:val="28"/>
          <w:u w:val="single"/>
        </w:rPr>
        <w:t>（中标</w:t>
      </w:r>
      <w:r>
        <w:rPr>
          <w:color w:val="000000"/>
          <w:sz w:val="28"/>
          <w:u w:val="single"/>
        </w:rPr>
        <w:t>/成交供应商名称）</w:t>
      </w:r>
    </w:p>
    <w:p>
      <w:pPr>
        <w:jc w:val="center"/>
      </w:pPr>
      <w:r>
        <w:rPr>
          <w:b/>
          <w:sz w:val="27"/>
        </w:rPr>
        <w:t>签订日期：</w:t>
      </w:r>
      <w:r>
        <w:rPr>
          <w:b/>
          <w:sz w:val="27"/>
          <w:u w:val="single"/>
        </w:rPr>
        <w:t xml:space="preserve">　　 </w:t>
      </w:r>
      <w:r>
        <w:rPr>
          <w:color w:val="000000"/>
          <w:sz w:val="28"/>
          <w:u w:val="single"/>
        </w:rPr>
        <w:t>年</w:t>
      </w:r>
      <w:r>
        <w:rPr>
          <w:color w:val="000000"/>
          <w:sz w:val="28"/>
          <w:u w:val="single"/>
        </w:rPr>
        <w:t xml:space="preserve">   </w:t>
      </w:r>
      <w:r>
        <w:rPr>
          <w:color w:val="000000"/>
          <w:sz w:val="28"/>
          <w:u w:val="single"/>
        </w:rPr>
        <w:t xml:space="preserve">月    </w:t>
      </w:r>
      <w:r>
        <w:rPr>
          <w:color w:val="000000"/>
          <w:sz w:val="28"/>
          <w:u w:val="single"/>
        </w:rPr>
        <w:t>日</w:t>
      </w:r>
      <w:r>
        <w:rPr>
          <w:b/>
          <w:sz w:val="27"/>
          <w:u w:val="single"/>
        </w:rPr>
        <w:t>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ind w:firstLine="404"/>
        <w:jc w:val="both"/>
      </w:pP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33"/>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33"/>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（采购人名称）</w:t>
            </w:r>
            <w:r>
              <w:rPr>
                <w:color w:val="000000"/>
                <w:sz w:val="21"/>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bl>
    <w:p>
      <w:pPr>
        <w:ind w:firstLine="420"/>
      </w:pPr>
    </w:p>
    <w:p>
      <w:pPr>
        <w:ind w:firstLine="420"/>
      </w:pPr>
      <w:r>
        <w:rPr>
          <w:color w:val="000000"/>
          <w:sz w:val="21"/>
        </w:rPr>
        <w:t>根据《中华人民共和国政府采购法》《中华人民共和国民法典》和本项目竞争性磋商文件的要求，</w:t>
      </w:r>
      <w:r>
        <w:rPr>
          <w:color w:val="000000"/>
          <w:sz w:val="21"/>
        </w:rPr>
        <w:t>经双方协商，</w:t>
      </w:r>
      <w:r>
        <w:rPr>
          <w:color w:val="000000"/>
          <w:sz w:val="21"/>
        </w:rPr>
        <w:t>本着平等互利和诚实信用的原则，</w:t>
      </w:r>
      <w:r>
        <w:rPr>
          <w:color w:val="000000"/>
          <w:sz w:val="21"/>
        </w:rPr>
        <w:t>一致同意签订本合同如下。</w:t>
      </w:r>
    </w:p>
    <w:p>
      <w:pPr>
        <w:ind w:firstLine="420"/>
      </w:pPr>
      <w:r>
        <w:rPr>
          <w:b/>
          <w:color w:val="000000"/>
          <w:sz w:val="21"/>
        </w:rPr>
        <w:t>一、项目主要内容及实现功能目标：</w:t>
      </w:r>
      <w:r>
        <w:br/>
      </w:r>
      <w:r>
        <w:rPr>
          <w:color w:val="000000"/>
          <w:sz w:val="21"/>
        </w:rPr>
        <w:t>（按照竞争性磋商文件和投标/响应文件执行）</w:t>
      </w:r>
      <w:r>
        <w:br/>
      </w:r>
      <w:r>
        <w:rPr>
          <w:b/>
          <w:color w:val="000000"/>
          <w:sz w:val="21"/>
        </w:rPr>
        <w:t>二、产品及服务供应清单：</w:t>
      </w:r>
      <w:r>
        <w:rPr>
          <w:color w:val="000000"/>
          <w:sz w:val="21"/>
        </w:rPr>
        <w:t>见附件《报价清单明细表》。</w:t>
      </w:r>
      <w:r>
        <w:br/>
      </w:r>
      <w:r>
        <w:rPr>
          <w:b/>
          <w:color w:val="000000"/>
          <w:sz w:val="21"/>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780"/>
        <w:gridCol w:w="5848"/>
      </w:tblGrid>
      <w:tr>
        <w:tc>
          <w:tcPr>
            <w:tcW w:type="dxa" w:w="678"/>
            <w:tcBorders>
              <w:top w:val="single" w:color="000000" w:sz="8"/>
              <w:left w:val="single" w:color="000000" w:sz="8"/>
              <w:bottom w:val="single" w:color="000000" w:sz="8"/>
              <w:right w:val="single" w:color="000000" w:sz="8"/>
            </w:tcBorders>
            <w:vAlign w:val="top"/>
          </w:tcPr>
          <w:p>
            <w:pPr>
              <w:jc w:val="center"/>
            </w:pPr>
            <w:r>
              <w:rPr>
                <w:b/>
                <w:color w:val="000000"/>
                <w:sz w:val="21"/>
              </w:rPr>
              <w:t>序号</w:t>
            </w:r>
          </w:p>
        </w:tc>
        <w:tc>
          <w:tcPr>
            <w:tcW w:type="dxa" w:w="1780"/>
            <w:tcBorders>
              <w:top w:val="single" w:color="000000" w:sz="8"/>
              <w:left w:val="none" w:color="000000" w:sz="4"/>
              <w:bottom w:val="single" w:color="000000" w:sz="8"/>
              <w:right w:val="single" w:color="000000" w:sz="8"/>
            </w:tcBorders>
            <w:vAlign w:val="top"/>
          </w:tcPr>
          <w:p>
            <w:pPr>
              <w:jc w:val="center"/>
            </w:pPr>
            <w:r>
              <w:rPr>
                <w:b/>
                <w:color w:val="000000"/>
                <w:sz w:val="21"/>
              </w:rPr>
              <w:t>合同条款</w:t>
            </w:r>
          </w:p>
        </w:tc>
        <w:tc>
          <w:tcPr>
            <w:tcW w:type="dxa" w:w="5848"/>
            <w:tcBorders>
              <w:top w:val="single" w:color="000000" w:sz="8"/>
              <w:left w:val="none" w:color="000000" w:sz="4"/>
              <w:bottom w:val="single" w:color="000000" w:sz="8"/>
              <w:right w:val="single" w:color="000000" w:sz="8"/>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8"/>
            <w:tcBorders>
              <w:top w:val="none" w:color="000000" w:sz="4"/>
              <w:left w:val="single" w:color="000000" w:sz="8"/>
              <w:bottom w:val="single" w:color="000000" w:sz="8"/>
              <w:right w:val="single" w:color="000000" w:sz="8"/>
            </w:tcBorders>
            <w:vAlign w:val="top"/>
          </w:tcPr>
          <w:p>
            <w:pPr>
              <w:jc w:val="center"/>
            </w:pPr>
            <w:r>
              <w:rPr>
                <w:b/>
                <w:sz w:val="21"/>
              </w:rPr>
              <w:t>1.</w:t>
            </w:r>
          </w:p>
        </w:tc>
        <w:tc>
          <w:tcPr>
            <w:tcW w:type="dxa" w:w="1780"/>
            <w:tcBorders>
              <w:top w:val="none" w:color="000000" w:sz="4"/>
              <w:left w:val="none" w:color="000000" w:sz="4"/>
              <w:bottom w:val="single" w:color="000000" w:sz="8"/>
              <w:right w:val="single" w:color="000000" w:sz="8"/>
            </w:tcBorders>
            <w:vAlign w:val="top"/>
          </w:tcPr>
          <w:p>
            <w:pPr>
              <w:jc w:val="center"/>
            </w:pPr>
            <w:r>
              <w:rPr>
                <w:b/>
                <w:color w:val="000000"/>
                <w:sz w:val="21"/>
              </w:rPr>
              <w:t>合同总额</w:t>
            </w:r>
          </w:p>
        </w:tc>
        <w:tc>
          <w:tcPr>
            <w:tcW w:type="dxa" w:w="5848"/>
            <w:tcBorders>
              <w:top w:val="none" w:color="000000" w:sz="4"/>
              <w:left w:val="none" w:color="000000" w:sz="4"/>
              <w:bottom w:val="single" w:color="000000" w:sz="8"/>
              <w:right w:val="single" w:color="000000" w:sz="8"/>
            </w:tcBorders>
            <w:vAlign w:val="top"/>
          </w:tcPr>
          <w:p>
            <w:r>
              <w:rPr>
                <w:color w:val="000000"/>
                <w:sz w:val="21"/>
              </w:rPr>
              <w:t>人民币</w:t>
            </w:r>
            <w:r>
              <w:rPr>
                <w:color w:val="000000"/>
                <w:sz w:val="21"/>
              </w:rPr>
              <w:t xml:space="preserve"> </w:t>
            </w:r>
            <w:r>
              <w:rPr>
                <w:color w:val="000000"/>
                <w:sz w:val="21"/>
              </w:rPr>
              <w:t>小写：</w:t>
            </w:r>
            <w:r>
              <w:rPr>
                <w:sz w:val="19"/>
                <w:u w:val="single"/>
              </w:rPr>
              <w:t xml:space="preserve">             </w:t>
            </w:r>
            <w:r>
              <w:rPr>
                <w:sz w:val="19"/>
              </w:rPr>
              <w:t xml:space="preserve">   </w:t>
            </w:r>
          </w:p>
          <w:p>
            <w:r>
              <w:rPr>
                <w:color w:val="000000"/>
                <w:sz w:val="21"/>
              </w:rPr>
              <w:t>大写：</w:t>
            </w:r>
            <w:r>
              <w:rPr>
                <w:sz w:val="19"/>
                <w:u w:val="single"/>
              </w:rPr>
              <w:t xml:space="preserve">                          </w:t>
            </w:r>
          </w:p>
        </w:tc>
      </w:tr>
      <w:tr>
        <w:tc>
          <w:tcPr>
            <w:tcW w:type="dxa" w:w="678"/>
            <w:tcBorders>
              <w:top w:val="none" w:color="000000" w:sz="4"/>
              <w:left w:val="single" w:color="000000" w:sz="8"/>
              <w:bottom w:val="single" w:color="000000" w:sz="8"/>
              <w:right w:val="single" w:color="000000" w:sz="8"/>
            </w:tcBorders>
            <w:vAlign w:val="top"/>
          </w:tcPr>
          <w:p>
            <w:pPr>
              <w:jc w:val="center"/>
            </w:pPr>
            <w:r>
              <w:rPr>
                <w:b/>
                <w:sz w:val="21"/>
              </w:rPr>
              <w:t>2.</w:t>
            </w:r>
          </w:p>
        </w:tc>
        <w:tc>
          <w:tcPr>
            <w:tcW w:type="dxa" w:w="1780"/>
            <w:tcBorders>
              <w:top w:val="none" w:color="000000" w:sz="4"/>
              <w:left w:val="none" w:color="000000" w:sz="4"/>
              <w:bottom w:val="single" w:color="000000" w:sz="8"/>
              <w:right w:val="single" w:color="000000" w:sz="8"/>
            </w:tcBorders>
            <w:vAlign w:val="top"/>
          </w:tcPr>
          <w:p>
            <w:pPr>
              <w:jc w:val="center"/>
            </w:pPr>
            <w:r>
              <w:rPr>
                <w:b/>
                <w:color w:val="000000"/>
                <w:sz w:val="21"/>
              </w:rPr>
              <w:t>合同总额内容</w:t>
            </w:r>
          </w:p>
        </w:tc>
        <w:tc>
          <w:tcPr>
            <w:tcW w:type="dxa" w:w="5848"/>
            <w:tcBorders>
              <w:top w:val="none" w:color="000000" w:sz="4"/>
              <w:left w:val="none" w:color="000000" w:sz="4"/>
              <w:bottom w:val="single" w:color="000000" w:sz="8"/>
              <w:right w:val="single" w:color="000000" w:sz="8"/>
            </w:tcBorders>
            <w:vAlign w:val="top"/>
          </w:tcPr>
          <w:p>
            <w:r>
              <w:rPr>
                <w:color w:val="000000"/>
                <w:sz w:val="21"/>
              </w:rPr>
              <w:t>（</w:t>
            </w:r>
            <w:r>
              <w:rPr>
                <w:color w:val="000000"/>
                <w:sz w:val="21"/>
              </w:rPr>
              <w:t>1）</w:t>
            </w:r>
            <w:r>
              <w:rPr>
                <w:color w:val="000000"/>
                <w:sz w:val="21"/>
              </w:rPr>
              <w:t>合同总额包括但不限于所用线路建造、供电建造、接地网建造、加装漏电保护开关、设备维修、设备更换、设备安装、系统调试、各种税费及合同实施过程中的不可预见费用等所有费用，甲方不再另外支付任何费用。</w:t>
            </w:r>
          </w:p>
          <w:p>
            <w:r>
              <w:rPr>
                <w:color w:val="000000"/>
                <w:sz w:val="21"/>
              </w:rPr>
              <w:t>（</w:t>
            </w:r>
            <w:r>
              <w:rPr>
                <w:color w:val="000000"/>
                <w:sz w:val="21"/>
              </w:rPr>
              <w:t>2）</w:t>
            </w:r>
            <w:r>
              <w:rPr>
                <w:color w:val="000000"/>
                <w:sz w:val="21"/>
              </w:rPr>
              <w:t>价格为固定不变价，天数为公历日。</w:t>
            </w:r>
          </w:p>
        </w:tc>
      </w:tr>
      <w:tr>
        <w:tc>
          <w:tcPr>
            <w:tcW w:type="dxa" w:w="678"/>
            <w:tcBorders>
              <w:top w:val="none" w:color="000000" w:sz="4"/>
              <w:left w:val="single" w:color="000000" w:sz="8"/>
              <w:bottom w:val="single" w:color="000000" w:sz="8"/>
              <w:right w:val="single" w:color="000000" w:sz="8"/>
            </w:tcBorders>
            <w:vAlign w:val="top"/>
          </w:tcPr>
          <w:p>
            <w:pPr>
              <w:jc w:val="center"/>
            </w:pPr>
            <w:r>
              <w:rPr>
                <w:b/>
                <w:sz w:val="21"/>
              </w:rPr>
              <w:t>3.</w:t>
            </w:r>
          </w:p>
        </w:tc>
        <w:tc>
          <w:tcPr>
            <w:tcW w:type="dxa" w:w="1780"/>
            <w:tcBorders>
              <w:top w:val="none" w:color="000000" w:sz="4"/>
              <w:left w:val="none" w:color="000000" w:sz="4"/>
              <w:bottom w:val="single" w:color="000000" w:sz="8"/>
              <w:right w:val="single" w:color="000000" w:sz="8"/>
            </w:tcBorders>
            <w:vAlign w:val="top"/>
          </w:tcPr>
          <w:p>
            <w:pPr>
              <w:jc w:val="center"/>
            </w:pPr>
            <w:r>
              <w:rPr>
                <w:b/>
                <w:color w:val="000000"/>
                <w:sz w:val="21"/>
              </w:rPr>
              <w:t>交货及安装地点</w:t>
            </w:r>
          </w:p>
        </w:tc>
        <w:tc>
          <w:tcPr>
            <w:tcW w:type="dxa" w:w="5848"/>
            <w:tcBorders>
              <w:top w:val="none" w:color="000000" w:sz="4"/>
              <w:left w:val="none" w:color="000000" w:sz="4"/>
              <w:bottom w:val="single" w:color="000000" w:sz="8"/>
              <w:right w:val="single" w:color="000000" w:sz="8"/>
            </w:tcBorders>
            <w:vAlign w:val="top"/>
          </w:tcPr>
          <w:p>
            <w:r>
              <w:rPr>
                <w:color w:val="000000"/>
                <w:sz w:val="21"/>
              </w:rPr>
              <w:t>甲方（用户）指定地点。详细地址为：</w:t>
            </w:r>
            <w:r>
              <w:rPr>
                <w:sz w:val="21"/>
              </w:rPr>
              <w:t>广东省</w:t>
            </w:r>
            <w:r>
              <w:rPr>
                <w:color w:val="000000"/>
                <w:sz w:val="21"/>
              </w:rPr>
              <w:t>佛山市禅城区。</w:t>
            </w:r>
          </w:p>
        </w:tc>
      </w:tr>
      <w:tr>
        <w:tc>
          <w:tcPr>
            <w:tcW w:type="dxa" w:w="678"/>
            <w:tcBorders>
              <w:top w:val="none" w:color="000000" w:sz="4"/>
              <w:left w:val="single" w:color="000000" w:sz="8"/>
              <w:bottom w:val="single" w:color="000000" w:sz="8"/>
              <w:right w:val="single" w:color="000000" w:sz="8"/>
            </w:tcBorders>
            <w:vAlign w:val="top"/>
          </w:tcPr>
          <w:p>
            <w:pPr>
              <w:jc w:val="center"/>
            </w:pPr>
            <w:r>
              <w:rPr>
                <w:b/>
                <w:sz w:val="21"/>
              </w:rPr>
              <w:t>4.</w:t>
            </w:r>
          </w:p>
        </w:tc>
        <w:tc>
          <w:tcPr>
            <w:tcW w:type="dxa" w:w="1780"/>
            <w:tcBorders>
              <w:top w:val="none" w:color="000000" w:sz="4"/>
              <w:left w:val="none" w:color="000000" w:sz="4"/>
              <w:bottom w:val="single" w:color="000000" w:sz="8"/>
              <w:right w:val="single" w:color="000000" w:sz="8"/>
            </w:tcBorders>
            <w:vAlign w:val="top"/>
          </w:tcPr>
          <w:p>
            <w:pPr>
              <w:jc w:val="center"/>
            </w:pPr>
            <w:r>
              <w:rPr>
                <w:b/>
                <w:color w:val="000000"/>
                <w:sz w:val="21"/>
              </w:rPr>
              <w:t>项目完工期</w:t>
            </w:r>
          </w:p>
        </w:tc>
        <w:tc>
          <w:tcPr>
            <w:tcW w:type="dxa" w:w="5848"/>
            <w:tcBorders>
              <w:top w:val="none" w:color="000000" w:sz="4"/>
              <w:left w:val="none" w:color="000000" w:sz="4"/>
              <w:bottom w:val="single" w:color="000000" w:sz="8"/>
              <w:right w:val="single" w:color="000000" w:sz="8"/>
            </w:tcBorders>
            <w:vAlign w:val="top"/>
          </w:tcPr>
          <w:p>
            <w:r>
              <w:rPr>
                <w:sz w:val="21"/>
              </w:rPr>
              <w:t>自合同签订之日起</w:t>
            </w:r>
            <w:r>
              <w:rPr>
                <w:sz w:val="21"/>
              </w:rPr>
              <w:t>60个日历天内完成全部设备的安装、调试、培训与验收工作。</w:t>
            </w:r>
          </w:p>
        </w:tc>
      </w:tr>
      <w:tr>
        <w:tc>
          <w:tcPr>
            <w:tcW w:type="dxa" w:w="678"/>
            <w:tcBorders>
              <w:top w:val="none" w:color="000000" w:sz="4"/>
              <w:left w:val="single" w:color="000000" w:sz="8"/>
              <w:bottom w:val="single" w:color="000000" w:sz="8"/>
              <w:right w:val="single" w:color="000000" w:sz="8"/>
            </w:tcBorders>
            <w:vAlign w:val="top"/>
          </w:tcPr>
          <w:p>
            <w:pPr>
              <w:jc w:val="center"/>
            </w:pPr>
            <w:r>
              <w:rPr>
                <w:b/>
                <w:sz w:val="21"/>
              </w:rPr>
              <w:t>5.</w:t>
            </w:r>
          </w:p>
        </w:tc>
        <w:tc>
          <w:tcPr>
            <w:tcW w:type="dxa" w:w="1780"/>
            <w:tcBorders>
              <w:top w:val="none" w:color="000000" w:sz="4"/>
              <w:left w:val="none" w:color="000000" w:sz="4"/>
              <w:bottom w:val="single" w:color="000000" w:sz="8"/>
              <w:right w:val="single" w:color="000000" w:sz="8"/>
            </w:tcBorders>
            <w:vAlign w:val="top"/>
          </w:tcPr>
          <w:p>
            <w:pPr>
              <w:jc w:val="center"/>
            </w:pPr>
            <w:r>
              <w:rPr>
                <w:b/>
                <w:color w:val="000000"/>
                <w:sz w:val="21"/>
              </w:rPr>
              <w:t>质保运维期</w:t>
            </w:r>
          </w:p>
        </w:tc>
        <w:tc>
          <w:tcPr>
            <w:tcW w:type="dxa" w:w="5848"/>
            <w:tcBorders>
              <w:top w:val="none" w:color="000000" w:sz="4"/>
              <w:left w:val="none" w:color="000000" w:sz="4"/>
              <w:bottom w:val="single" w:color="000000" w:sz="8"/>
              <w:right w:val="single" w:color="000000" w:sz="8"/>
            </w:tcBorders>
            <w:vAlign w:val="top"/>
          </w:tcPr>
          <w:p>
            <w:r>
              <w:rPr>
                <w:color w:val="000000"/>
                <w:sz w:val="21"/>
              </w:rPr>
              <w:t>乙方须提供</w:t>
            </w:r>
            <w:r>
              <w:rPr>
                <w:color w:val="000000"/>
                <w:sz w:val="21"/>
              </w:rPr>
              <w:t>1年的前端摄像机质保维护；以及提供2年前端电费及电费代缴服务；质保期自货物最终验收合格之日起算。</w:t>
            </w:r>
          </w:p>
        </w:tc>
      </w:tr>
      <w:tr>
        <w:tc>
          <w:tcPr>
            <w:tcW w:type="dxa" w:w="678"/>
            <w:tcBorders>
              <w:top w:val="none" w:color="000000" w:sz="4"/>
              <w:left w:val="single" w:color="000000" w:sz="8"/>
              <w:bottom w:val="single" w:color="000000" w:sz="8"/>
              <w:right w:val="single" w:color="000000" w:sz="8"/>
            </w:tcBorders>
            <w:vAlign w:val="top"/>
          </w:tcPr>
          <w:p>
            <w:pPr>
              <w:jc w:val="center"/>
            </w:pPr>
            <w:r>
              <w:rPr>
                <w:b/>
                <w:sz w:val="21"/>
              </w:rPr>
              <w:t>6.</w:t>
            </w:r>
          </w:p>
        </w:tc>
        <w:tc>
          <w:tcPr>
            <w:tcW w:type="dxa" w:w="1780"/>
            <w:tcBorders>
              <w:top w:val="none" w:color="000000" w:sz="4"/>
              <w:left w:val="none" w:color="000000" w:sz="4"/>
              <w:bottom w:val="single" w:color="000000" w:sz="8"/>
              <w:right w:val="single" w:color="000000" w:sz="8"/>
            </w:tcBorders>
            <w:vAlign w:val="top"/>
          </w:tcPr>
          <w:p>
            <w:pPr>
              <w:jc w:val="center"/>
            </w:pPr>
            <w:r>
              <w:rPr>
                <w:b/>
                <w:color w:val="000000"/>
                <w:sz w:val="21"/>
              </w:rPr>
              <w:t>付款方式</w:t>
            </w:r>
          </w:p>
        </w:tc>
        <w:tc>
          <w:tcPr>
            <w:tcW w:type="dxa" w:w="5848"/>
            <w:tcBorders>
              <w:top w:val="none" w:color="000000" w:sz="4"/>
              <w:left w:val="none" w:color="000000" w:sz="4"/>
              <w:bottom w:val="single" w:color="000000" w:sz="8"/>
              <w:right w:val="single" w:color="000000" w:sz="8"/>
            </w:tcBorders>
            <w:vAlign w:val="top"/>
          </w:tcPr>
          <w:p>
            <w:r>
              <w:rPr>
                <w:sz w:val="21"/>
              </w:rPr>
              <w:t>（</w:t>
            </w:r>
            <w:r>
              <w:rPr>
                <w:sz w:val="21"/>
              </w:rPr>
              <w:t>1）</w:t>
            </w:r>
            <w:r>
              <w:rPr>
                <w:sz w:val="21"/>
              </w:rPr>
              <w:t>预付款：签订合同后</w:t>
            </w:r>
            <w:r>
              <w:rPr>
                <w:sz w:val="21"/>
              </w:rPr>
              <w:t>5个工作日内，支付合同总价的30%。</w:t>
            </w:r>
            <w:r>
              <w:rPr>
                <w:color w:val="000000"/>
                <w:sz w:val="21"/>
              </w:rPr>
              <w:t>；</w:t>
            </w:r>
          </w:p>
          <w:p>
            <w:r>
              <w:rPr>
                <w:color w:val="000000"/>
                <w:sz w:val="21"/>
              </w:rPr>
              <w:t>（</w:t>
            </w:r>
            <w:r>
              <w:rPr>
                <w:color w:val="000000"/>
                <w:sz w:val="21"/>
              </w:rPr>
              <w:t>2）设备安装调试结束，提交全部报告材料，调试完成并验收合格后5个工作日内，支付至合同总价的</w:t>
            </w:r>
            <w:r>
              <w:rPr>
                <w:color w:val="000000"/>
                <w:sz w:val="21"/>
              </w:rPr>
              <w:t>70</w:t>
            </w:r>
            <w:r>
              <w:rPr>
                <w:color w:val="000000"/>
                <w:sz w:val="21"/>
              </w:rPr>
              <w:t>%。</w:t>
            </w:r>
          </w:p>
        </w:tc>
      </w:tr>
      <w:tr>
        <w:tc>
          <w:tcPr>
            <w:tcW w:type="dxa" w:w="678"/>
            <w:tcBorders>
              <w:top w:val="none" w:color="000000" w:sz="4"/>
              <w:left w:val="single" w:color="000000" w:sz="8"/>
              <w:bottom w:val="single" w:color="000000" w:sz="8"/>
              <w:right w:val="single" w:color="000000" w:sz="8"/>
            </w:tcBorders>
            <w:vAlign w:val="top"/>
          </w:tcPr>
          <w:p>
            <w:pPr>
              <w:jc w:val="center"/>
            </w:pPr>
            <w:r>
              <w:rPr>
                <w:b/>
                <w:sz w:val="21"/>
              </w:rPr>
              <w:t>7.</w:t>
            </w:r>
          </w:p>
        </w:tc>
        <w:tc>
          <w:tcPr>
            <w:tcW w:type="dxa" w:w="1780"/>
            <w:tcBorders>
              <w:top w:val="none" w:color="000000" w:sz="4"/>
              <w:left w:val="none" w:color="000000" w:sz="4"/>
              <w:bottom w:val="single" w:color="000000" w:sz="8"/>
              <w:right w:val="single" w:color="000000" w:sz="8"/>
            </w:tcBorders>
            <w:vAlign w:val="top"/>
          </w:tcPr>
          <w:p>
            <w:pPr>
              <w:jc w:val="center"/>
            </w:pPr>
            <w:r>
              <w:rPr>
                <w:b/>
                <w:color w:val="000000"/>
                <w:sz w:val="21"/>
              </w:rPr>
              <w:t>付款要求</w:t>
            </w:r>
          </w:p>
        </w:tc>
        <w:tc>
          <w:tcPr>
            <w:tcW w:type="dxa" w:w="5848"/>
            <w:tcBorders>
              <w:top w:val="none" w:color="000000" w:sz="4"/>
              <w:left w:val="none" w:color="000000" w:sz="4"/>
              <w:bottom w:val="single" w:color="000000" w:sz="8"/>
              <w:right w:val="single" w:color="000000" w:sz="8"/>
            </w:tcBorders>
            <w:vAlign w:val="top"/>
          </w:tcPr>
          <w:p>
            <w:pPr>
              <w:jc w:val="left"/>
            </w:pPr>
            <w:r>
              <w:rPr>
                <w:sz w:val="21"/>
              </w:rPr>
              <w:t>乙方凭以下有效文件与甲方结算：</w:t>
            </w:r>
          </w:p>
          <w:p>
            <w:pPr>
              <w:jc w:val="left"/>
            </w:pPr>
            <w:r>
              <w:rPr>
                <w:sz w:val="21"/>
              </w:rPr>
              <w:t>（</w:t>
            </w:r>
            <w:r>
              <w:rPr>
                <w:sz w:val="21"/>
              </w:rPr>
              <w:t>1）</w:t>
            </w:r>
            <w:r>
              <w:rPr>
                <w:sz w:val="21"/>
              </w:rPr>
              <w:t>合同；</w:t>
            </w:r>
          </w:p>
          <w:p>
            <w:pPr>
              <w:jc w:val="left"/>
            </w:pPr>
            <w:r>
              <w:rPr>
                <w:sz w:val="21"/>
              </w:rPr>
              <w:t>（</w:t>
            </w:r>
            <w:r>
              <w:rPr>
                <w:sz w:val="21"/>
              </w:rPr>
              <w:t>2）</w:t>
            </w:r>
            <w:r>
              <w:rPr>
                <w:sz w:val="21"/>
              </w:rPr>
              <w:t>乙方开具的正式发票；</w:t>
            </w:r>
          </w:p>
          <w:p>
            <w:pPr>
              <w:jc w:val="left"/>
            </w:pPr>
            <w:r>
              <w:rPr>
                <w:sz w:val="21"/>
              </w:rPr>
              <w:t>（</w:t>
            </w:r>
            <w:r>
              <w:rPr>
                <w:sz w:val="21"/>
              </w:rPr>
              <w:t>3）</w:t>
            </w:r>
            <w:r>
              <w:rPr>
                <w:sz w:val="21"/>
              </w:rPr>
              <w:t>验收调试报告（加盖甲方公章，支付第二笔款项时提供）；</w:t>
            </w:r>
          </w:p>
          <w:p>
            <w:pPr>
              <w:jc w:val="left"/>
            </w:pPr>
            <w:r>
              <w:rPr>
                <w:sz w:val="21"/>
              </w:rPr>
              <w:t>（</w:t>
            </w:r>
            <w:r>
              <w:rPr>
                <w:sz w:val="21"/>
              </w:rPr>
              <w:t>4）</w:t>
            </w:r>
            <w:r>
              <w:rPr>
                <w:sz w:val="21"/>
              </w:rPr>
              <w:t>成交通知书。</w:t>
            </w:r>
          </w:p>
          <w:p>
            <w:pPr>
              <w:jc w:val="left"/>
            </w:pPr>
            <w:r>
              <w:rPr>
                <w:sz w:val="21"/>
              </w:rPr>
              <w:t>乙方收款时必须持有效发票与甲方结算。收款方、出具发票方、合同乙方均必须与成交供应商名称一致。</w:t>
            </w:r>
          </w:p>
        </w:tc>
      </w:tr>
      <w:tr>
        <w:tc>
          <w:tcPr>
            <w:tcW w:type="dxa" w:w="678"/>
            <w:tcBorders>
              <w:top w:val="none" w:color="000000" w:sz="4"/>
              <w:left w:val="single" w:color="000000" w:sz="8"/>
              <w:bottom w:val="single" w:color="000000" w:sz="8"/>
              <w:right w:val="single" w:color="000000" w:sz="8"/>
            </w:tcBorders>
            <w:vAlign w:val="top"/>
          </w:tcPr>
          <w:p>
            <w:pPr>
              <w:jc w:val="center"/>
            </w:pPr>
            <w:r>
              <w:rPr>
                <w:b/>
                <w:sz w:val="21"/>
              </w:rPr>
              <w:t>8.</w:t>
            </w:r>
          </w:p>
        </w:tc>
        <w:tc>
          <w:tcPr>
            <w:tcW w:type="dxa" w:w="1780"/>
            <w:tcBorders>
              <w:top w:val="none" w:color="000000" w:sz="4"/>
              <w:left w:val="none" w:color="000000" w:sz="4"/>
              <w:bottom w:val="single" w:color="000000" w:sz="8"/>
              <w:right w:val="single" w:color="000000" w:sz="8"/>
            </w:tcBorders>
            <w:vAlign w:val="top"/>
          </w:tcPr>
          <w:p>
            <w:pPr>
              <w:jc w:val="center"/>
            </w:pPr>
            <w:r>
              <w:rPr>
                <w:b/>
                <w:sz w:val="21"/>
              </w:rPr>
              <w:t>履约保证金</w:t>
            </w:r>
          </w:p>
        </w:tc>
        <w:tc>
          <w:tcPr>
            <w:tcW w:type="dxa" w:w="5848"/>
            <w:tcBorders>
              <w:top w:val="none" w:color="000000" w:sz="4"/>
              <w:left w:val="none" w:color="000000" w:sz="4"/>
              <w:bottom w:val="single" w:color="000000" w:sz="8"/>
              <w:right w:val="single" w:color="000000" w:sz="8"/>
            </w:tcBorders>
            <w:vAlign w:val="top"/>
          </w:tcPr>
          <w:p>
            <w:pPr>
              <w:jc w:val="both"/>
            </w:pPr>
            <w:r>
              <w:rPr>
                <w:sz w:val="21"/>
              </w:rPr>
              <w:t>不收取</w:t>
            </w:r>
          </w:p>
        </w:tc>
      </w:tr>
    </w:tbl>
    <w:p>
      <w:pPr>
        <w:ind w:firstLine="420"/>
      </w:pPr>
      <w:r>
        <w:rPr>
          <w:b/>
          <w:color w:val="000000"/>
          <w:sz w:val="21"/>
        </w:rPr>
        <w:t>四、项目建设任务</w:t>
      </w:r>
      <w:r>
        <w:br/>
      </w:r>
      <w:r>
        <w:rPr/>
        <w:t>本期规划在10个地铁站点新建40个视频监控点位，共计71路高清视频监控设备，主要覆盖佛山地铁二号线站点出入口，设备接入公安视频网资源，对区域现场的实时录像和过人数据进行采集。</w:t>
      </w:r>
      <w:r>
        <w:br/>
      </w:r>
      <w:r>
        <w:rPr>
          <w:b/>
          <w:color w:val="000000"/>
          <w:sz w:val="21"/>
        </w:rPr>
        <w:t>五、项目建设内容</w:t>
      </w:r>
      <w:r>
        <w:br/>
      </w:r>
      <w:r>
        <w:rPr/>
        <w:t>（一）前端采集系统建设</w:t>
      </w:r>
      <w:r>
        <w:br/>
      </w:r>
      <w:r>
        <w:rPr/>
        <w:t>前端感知网在地铁出入口/通道采用不低于400万像素智能网络高清监控摄像机（人脸枪机），支持过往人员进行全量的特征记录。在站点出口采用不低于400万像素多通道球型一体摄像机（高清球机），以对周边环境情况进行轮巡。</w:t>
      </w:r>
      <w:r>
        <w:br/>
      </w:r>
      <w:r>
        <w:rPr/>
        <w:t>具体建设任务如下表：</w:t>
      </w:r>
    </w:p>
    <w:tbl>
      <w:tblPr>
        <w:tblW w:w="0" w:type="auto"/>
        <w:tblBorders>
          <w:top w:val="none" w:color="000000" w:sz="4"/>
          <w:left w:val="none" w:color="000000" w:sz="4"/>
          <w:bottom w:val="none" w:color="000000" w:sz="4"/>
          <w:right w:val="none" w:color="000000" w:sz="4"/>
          <w:insideH w:val="none"/>
          <w:insideV w:val="none"/>
        </w:tblBorders>
      </w:tblPr>
      <w:tblGrid>
        <w:gridCol w:w="818"/>
        <w:gridCol w:w="3971"/>
        <w:gridCol w:w="1817"/>
        <w:gridCol w:w="1700"/>
      </w:tblGrid>
      <w:tr>
        <w:tc>
          <w:tcPr>
            <w:tcW w:type="dxa" w:w="818"/>
            <w:tcBorders>
              <w:top w:val="single" w:color="000000" w:sz="8"/>
              <w:left w:val="single" w:color="000000" w:sz="8"/>
              <w:bottom w:val="single" w:color="000000" w:sz="8"/>
              <w:right w:val="single" w:color="000000" w:sz="8"/>
            </w:tcBorders>
            <w:vAlign w:val="top"/>
          </w:tcPr>
          <w:p>
            <w:pPr>
              <w:jc w:val="center"/>
            </w:pPr>
            <w:r>
              <w:rPr>
                <w:color w:val="000000"/>
                <w:sz w:val="21"/>
              </w:rPr>
              <w:t>辖区</w:t>
            </w:r>
          </w:p>
        </w:tc>
        <w:tc>
          <w:tcPr>
            <w:tcW w:type="dxa" w:w="3971"/>
            <w:tcBorders>
              <w:top w:val="single" w:color="000000" w:sz="8"/>
              <w:left w:val="none" w:color="000000" w:sz="4"/>
              <w:bottom w:val="single" w:color="000000" w:sz="8"/>
              <w:right w:val="single" w:color="000000" w:sz="8"/>
            </w:tcBorders>
            <w:vAlign w:val="top"/>
          </w:tcPr>
          <w:p>
            <w:pPr>
              <w:jc w:val="center"/>
            </w:pPr>
            <w:r>
              <w:rPr>
                <w:color w:val="000000"/>
                <w:sz w:val="21"/>
              </w:rPr>
              <w:t>涉及地铁站</w:t>
            </w:r>
          </w:p>
        </w:tc>
        <w:tc>
          <w:tcPr>
            <w:tcW w:type="dxa" w:w="1817"/>
            <w:tcBorders>
              <w:top w:val="single" w:color="000000" w:sz="8"/>
              <w:left w:val="none" w:color="000000" w:sz="4"/>
              <w:bottom w:val="single" w:color="000000" w:sz="8"/>
              <w:right w:val="single" w:color="000000" w:sz="8"/>
            </w:tcBorders>
            <w:vAlign w:val="top"/>
          </w:tcPr>
          <w:p>
            <w:pPr>
              <w:jc w:val="center"/>
            </w:pPr>
            <w:r>
              <w:rPr>
                <w:color w:val="000000"/>
                <w:sz w:val="21"/>
              </w:rPr>
              <w:t>人脸枪机</w:t>
            </w:r>
          </w:p>
          <w:p>
            <w:pPr>
              <w:jc w:val="center"/>
            </w:pPr>
            <w:r>
              <w:rPr>
                <w:color w:val="000000"/>
                <w:sz w:val="21"/>
              </w:rPr>
              <w:t>（单位：个）</w:t>
            </w:r>
          </w:p>
        </w:tc>
        <w:tc>
          <w:tcPr>
            <w:tcW w:type="dxa" w:w="1700"/>
            <w:tcBorders>
              <w:top w:val="single" w:color="000000" w:sz="8"/>
              <w:left w:val="none" w:color="000000" w:sz="4"/>
              <w:bottom w:val="single" w:color="000000" w:sz="8"/>
              <w:right w:val="single" w:color="000000" w:sz="8"/>
            </w:tcBorders>
            <w:vAlign w:val="top"/>
          </w:tcPr>
          <w:p>
            <w:pPr>
              <w:jc w:val="center"/>
            </w:pPr>
            <w:r>
              <w:rPr>
                <w:color w:val="000000"/>
                <w:sz w:val="21"/>
              </w:rPr>
              <w:t>高清球机</w:t>
            </w:r>
          </w:p>
          <w:p>
            <w:pPr>
              <w:jc w:val="center"/>
            </w:pPr>
            <w:r>
              <w:rPr>
                <w:color w:val="000000"/>
                <w:sz w:val="21"/>
              </w:rPr>
              <w:t>（单位：个）</w:t>
            </w:r>
          </w:p>
        </w:tc>
      </w:tr>
      <w:tr>
        <w:tc>
          <w:tcPr>
            <w:tcW w:type="dxa" w:w="818"/>
            <w:tcBorders>
              <w:top w:val="none" w:color="000000" w:sz="4"/>
              <w:left w:val="single" w:color="000000" w:sz="8"/>
              <w:bottom w:val="single" w:color="000000" w:sz="8"/>
              <w:right w:val="single" w:color="000000" w:sz="8"/>
            </w:tcBorders>
            <w:vAlign w:val="top"/>
          </w:tcPr>
          <w:p>
            <w:pPr>
              <w:jc w:val="center"/>
            </w:pPr>
            <w:r>
              <w:rPr>
                <w:color w:val="000000"/>
                <w:sz w:val="21"/>
              </w:rPr>
              <w:t>禅城</w:t>
            </w:r>
          </w:p>
        </w:tc>
        <w:tc>
          <w:tcPr>
            <w:tcW w:type="dxa" w:w="3971"/>
            <w:tcBorders>
              <w:top w:val="none" w:color="000000" w:sz="4"/>
              <w:left w:val="none" w:color="000000" w:sz="4"/>
              <w:bottom w:val="single" w:color="000000" w:sz="8"/>
              <w:right w:val="single" w:color="000000" w:sz="8"/>
            </w:tcBorders>
            <w:vAlign w:val="top"/>
          </w:tcPr>
          <w:p>
            <w:pPr>
              <w:jc w:val="center"/>
            </w:pPr>
            <w:r>
              <w:rPr>
                <w:color w:val="000000"/>
                <w:sz w:val="21"/>
              </w:rPr>
              <w:t>南庄、湖涌、绿岛湖、智慧新城（莲塘）、张槎、石湾、沙岗、魁奇路、石梁、湾华</w:t>
            </w:r>
          </w:p>
        </w:tc>
        <w:tc>
          <w:tcPr>
            <w:tcW w:type="dxa" w:w="1817"/>
            <w:tcBorders>
              <w:top w:val="none" w:color="000000" w:sz="4"/>
              <w:left w:val="none" w:color="000000" w:sz="4"/>
              <w:bottom w:val="single" w:color="000000" w:sz="8"/>
              <w:right w:val="single" w:color="000000" w:sz="8"/>
            </w:tcBorders>
            <w:vAlign w:val="top"/>
          </w:tcPr>
          <w:p>
            <w:pPr>
              <w:jc w:val="center"/>
            </w:pPr>
            <w:r>
              <w:rPr>
                <w:color w:val="000000"/>
                <w:sz w:val="21"/>
              </w:rPr>
              <w:t>38</w:t>
            </w:r>
          </w:p>
        </w:tc>
        <w:tc>
          <w:tcPr>
            <w:tcW w:type="dxa" w:w="1700"/>
            <w:tcBorders>
              <w:top w:val="none" w:color="000000" w:sz="4"/>
              <w:left w:val="none" w:color="000000" w:sz="4"/>
              <w:bottom w:val="single" w:color="000000" w:sz="8"/>
              <w:right w:val="single" w:color="000000" w:sz="8"/>
            </w:tcBorders>
            <w:vAlign w:val="top"/>
          </w:tcPr>
          <w:p>
            <w:pPr>
              <w:jc w:val="center"/>
            </w:pPr>
            <w:r>
              <w:rPr>
                <w:color w:val="000000"/>
                <w:sz w:val="21"/>
              </w:rPr>
              <w:t>33</w:t>
            </w:r>
          </w:p>
        </w:tc>
      </w:tr>
      <w:tr>
        <w:tc>
          <w:tcPr>
            <w:tcW w:type="dxa" w:w="818"/>
            <w:tcBorders>
              <w:top w:val="none" w:color="000000" w:sz="4"/>
              <w:left w:val="single" w:color="000000" w:sz="8"/>
              <w:bottom w:val="single" w:color="000000" w:sz="8"/>
              <w:right w:val="single" w:color="000000" w:sz="8"/>
            </w:tcBorders>
            <w:vAlign w:val="top"/>
          </w:tcPr>
          <w:p>
            <w:pPr>
              <w:jc w:val="center"/>
            </w:pPr>
            <w:r>
              <w:rPr>
                <w:color w:val="000000"/>
                <w:sz w:val="21"/>
              </w:rPr>
              <w:t>合计</w:t>
            </w:r>
          </w:p>
        </w:tc>
        <w:tc>
          <w:tcPr>
            <w:tcW w:type="dxa" w:w="3971"/>
            <w:tcBorders>
              <w:top w:val="none" w:color="000000" w:sz="4"/>
              <w:left w:val="none" w:color="000000" w:sz="4"/>
              <w:bottom w:val="single" w:color="000000" w:sz="8"/>
              <w:right w:val="single" w:color="000000" w:sz="8"/>
            </w:tcBorders>
            <w:vAlign w:val="top"/>
          </w:tcPr>
          <w:p>
            <w:pPr>
              <w:jc w:val="center"/>
            </w:pPr>
            <w:r>
              <w:rPr>
                <w:color w:val="000000"/>
                <w:sz w:val="21"/>
              </w:rPr>
              <w:t>10</w:t>
            </w:r>
          </w:p>
        </w:tc>
        <w:tc>
          <w:tcPr>
            <w:tcW w:type="dxa" w:w="3517"/>
            <w:gridSpan w:val="2"/>
            <w:tcBorders>
              <w:top w:val="none" w:color="000000" w:sz="4"/>
              <w:left w:val="none" w:color="000000" w:sz="4"/>
              <w:bottom w:val="single" w:color="000000" w:sz="8"/>
              <w:right w:val="single" w:color="000000" w:sz="8"/>
            </w:tcBorders>
            <w:vAlign w:val="top"/>
          </w:tcPr>
          <w:p>
            <w:pPr>
              <w:jc w:val="center"/>
            </w:pPr>
            <w:r>
              <w:rPr>
                <w:color w:val="000000"/>
                <w:sz w:val="21"/>
              </w:rPr>
              <w:t>71</w:t>
            </w:r>
          </w:p>
        </w:tc>
      </w:tr>
    </w:tbl>
    <w:p>
      <w:pPr>
        <w:ind w:firstLine="420"/>
      </w:pPr>
      <w:r>
        <w:rPr/>
        <w:t>（二）网络传输系统建设</w:t>
      </w:r>
      <w:r>
        <w:br/>
      </w:r>
      <w:r>
        <w:rPr/>
        <w:t>本期规划建设40个视频监控点位主要通过自建或租赁裸光纤的方式实现数据传输。针对前端点位分布情况，其中7个点位通过自建链路的方式利旧附近公安监控网络汇聚点，其余点位采用租赁点对点裸光纤链路的方式，汇聚于禅城区公安机房并接入到视频专网。禅城区公安机房采用全光口接入，利旧机房现有光交换机。</w:t>
      </w:r>
      <w:r>
        <w:br/>
      </w:r>
      <w:r>
        <w:rPr/>
        <w:t>1.自建链路</w:t>
      </w:r>
      <w:r>
        <w:br/>
      </w:r>
      <w:r>
        <w:rPr/>
        <w:t>传输质量要求联网系统IP网络的传输质量应符合如下要求：</w:t>
      </w:r>
      <w:r>
        <w:br/>
      </w:r>
      <w:r>
        <w:rPr/>
        <w:t>(1)网络时延上限值为400ms；</w:t>
      </w:r>
      <w:r>
        <w:br/>
      </w:r>
      <w:r>
        <w:rPr/>
        <w:t>(2)时延抖动上限值为50ms；</w:t>
      </w:r>
      <w:r>
        <w:br/>
      </w:r>
      <w:r>
        <w:rPr/>
        <w:t>(3)丢包率上限值为1×10-3；</w:t>
      </w:r>
      <w:r>
        <w:br/>
      </w:r>
      <w:r>
        <w:rPr/>
        <w:t>(4)包误差率上限值为1×10-4。</w:t>
      </w:r>
      <w:r>
        <w:br/>
      </w:r>
      <w:r>
        <w:rPr/>
        <w:t>2.租赁链路传输要求</w:t>
      </w:r>
      <w:r>
        <w:br/>
      </w:r>
      <w:r>
        <w:rPr/>
        <w:t>本项目中要求租用的光纤网络在通信运营商的网路内只进行光纤的光路跳接，或专用光汇聚设备，要求公共安全视频监控系统专用光纤和通信运营方的业务在物理上严格隔离，不能造成治安通信信息的泄露。</w:t>
      </w:r>
      <w:r>
        <w:br/>
      </w:r>
      <w:r>
        <w:rPr/>
        <w:t xml:space="preserve">(1)网络传输要求 </w:t>
      </w:r>
      <w:r>
        <w:br/>
      </w:r>
      <w:r>
        <w:rPr/>
        <w:t>1)网络传输协议要求</w:t>
      </w:r>
      <w:r>
        <w:br/>
      </w:r>
      <w:r>
        <w:rPr/>
        <w:t>联网系统网络层应支持TCP/IP 协议，传输层应支持TCP 和UDP协议。</w:t>
      </w:r>
      <w:r>
        <w:br/>
      </w:r>
      <w:r>
        <w:rPr/>
        <w:t>2)媒体传输协议要求</w:t>
      </w:r>
      <w:r>
        <w:br/>
      </w:r>
      <w:r>
        <w:rPr/>
        <w:t xml:space="preserve">视音频流在基于IP的网络上传输时应支持RTP/RTCP协议；视音频流的数据封装格式应符合GB/T 28181-2016标准要求。 </w:t>
      </w:r>
      <w:r>
        <w:br/>
      </w:r>
      <w:r>
        <w:rPr/>
        <w:t xml:space="preserve">3)信息传输延迟时间 </w:t>
      </w:r>
      <w:r>
        <w:br/>
      </w:r>
      <w:r>
        <w:rPr/>
        <w:t>当信息（包括视音频信息、控制信息及报警信息等）经由IP网络传输时，端到端的信息延迟时间（包括发送端信息采集、编码、网络传输、信息接收端解码、显示等过程所经历的时间）应满足下列要求：</w:t>
      </w:r>
      <w:r>
        <w:br/>
      </w:r>
      <w:r>
        <w:rPr/>
        <w:t>前端设备与信号直接接入的监控中心相应设备间端到端的信息延迟时间应不大于2s；前端设备与用户终端设备间端到端的信息延迟时间应不大于4s。</w:t>
      </w:r>
      <w:r>
        <w:br/>
      </w:r>
      <w:r>
        <w:rPr/>
        <w:t>(2)网络传输带宽</w:t>
      </w:r>
      <w:r>
        <w:br/>
      </w:r>
      <w:r>
        <w:rPr/>
        <w:t>联网系统网络带宽设计应能满足前端设备接入监控中心、监控中心互联、用户终端接入监控中心的带宽要求，并留有余量。为确保图像质量，每个摄像机的接入带宽建设标准不低于30Mbps，且上下行均不低于30Mbps。</w:t>
      </w:r>
      <w:r>
        <w:br/>
      </w:r>
      <w:r>
        <w:rPr/>
        <w:t>(3)网络传输质量</w:t>
      </w:r>
      <w:r>
        <w:br/>
      </w:r>
      <w:r>
        <w:rPr/>
        <w:t>联网系统IP网络的传输质量（如传输时延、包丢失率、包误差率、虚假包率等）应符合如下要求：</w:t>
      </w:r>
      <w:r>
        <w:br/>
      </w:r>
      <w:r>
        <w:rPr/>
        <w:t>1)网络时延上限值为400ms；</w:t>
      </w:r>
      <w:r>
        <w:br/>
      </w:r>
      <w:r>
        <w:rPr/>
        <w:t>2)时延抖动上限值为50ms；</w:t>
      </w:r>
      <w:r>
        <w:br/>
      </w:r>
      <w:r>
        <w:rPr/>
        <w:t>3)丢包率上限值为1×10-3；</w:t>
      </w:r>
      <w:r>
        <w:br/>
      </w:r>
      <w:r>
        <w:rPr/>
        <w:t>4)包误差率上限值为1×10-4。</w:t>
      </w:r>
      <w:r>
        <w:br/>
      </w:r>
      <w:r>
        <w:rPr/>
        <w:t xml:space="preserve">(4)视频帧率 </w:t>
      </w:r>
      <w:r>
        <w:br/>
      </w:r>
      <w:r>
        <w:rPr/>
        <w:t>1)本地录像时可支持的视频帧率应不低于25帧/秒。</w:t>
      </w:r>
      <w:r>
        <w:br/>
      </w:r>
      <w:r>
        <w:rPr/>
        <w:t>2)本项目建设光缆网络使用的光缆和光纤连接设备符合国家标准。</w:t>
      </w:r>
      <w:r>
        <w:br/>
      </w:r>
      <w:r>
        <w:rPr/>
        <w:t>（三）存储系统建设</w:t>
      </w:r>
      <w:r>
        <w:br/>
      </w:r>
      <w:r>
        <w:rPr/>
        <w:t>本次规划建设的视频监控设备保存前端采集的视频录像及特征图片，存储在禅城区公安已建有的云存储，扩容资源池以满足本期90天的视频录像及180天的特征图片存储。设备应满足与禅城区公安局视频监控管理平台对接需求。</w:t>
      </w:r>
      <w:r>
        <w:br/>
      </w:r>
      <w:r>
        <w:rPr/>
        <w:t>（四）基础配套系统</w:t>
      </w:r>
      <w:r>
        <w:br/>
      </w:r>
      <w:r>
        <w:rPr/>
        <w:t>1.室外机箱要求</w:t>
      </w:r>
      <w:r>
        <w:br/>
      </w:r>
      <w:r>
        <w:rPr/>
        <w:t>(1)所有的电源、防雷器等前端辅助设备都安装在设备箱内，内部安装架的设计充分考虑设备的安装位置，同时具有防雨、防尘、防高温、防盗等功能。</w:t>
      </w:r>
      <w:r>
        <w:br/>
      </w:r>
      <w:r>
        <w:rPr/>
        <w:t>(2)用于箱体的金属材料，应具备抵抗腐蚀及电化学反应的能力；箱体宜采用优质201不锈钢板；箱体背板厚度应不小于1mm，其余面板厚度应不小于0.8mm。</w:t>
      </w:r>
      <w:r>
        <w:br/>
      </w:r>
      <w:r>
        <w:rPr/>
        <w:t>(3)箱体的宽高深不少于400mm×560mm×200mm；</w:t>
      </w:r>
      <w:r>
        <w:br/>
      </w:r>
      <w:r>
        <w:rPr/>
        <w:t>(4)所有锁芯统一钥匙；</w:t>
      </w:r>
      <w:r>
        <w:br/>
      </w:r>
      <w:r>
        <w:rPr/>
        <w:t>(5)整箱防水，并在通风槽内侧加防尘纱网；</w:t>
      </w:r>
      <w:r>
        <w:br/>
      </w:r>
      <w:r>
        <w:rPr/>
        <w:t>(6)箱体表面应喷涂白色防锈油漆，箱体应有明显标识及编号，表明设备箱用途，如“公共视频监控或禅城公安”字样，编制格式按甲方要求。</w:t>
      </w:r>
      <w:r>
        <w:br/>
      </w:r>
      <w:r>
        <w:rPr/>
        <w:t>(7)箱体进线孔必须有胶套保护，以防止各种线缆被刮伤。</w:t>
      </w:r>
      <w:r>
        <w:br/>
      </w:r>
      <w:r>
        <w:rPr/>
        <w:t>(8)箱体内应设置接地排，接地排孔洞数能满足箱内所有设备接地要求。</w:t>
      </w:r>
      <w:r>
        <w:br/>
      </w:r>
      <w:r>
        <w:rPr/>
        <w:t>(9)箱体的金属部分应互连并接至接地排，任意两点之间的连接电阻应小于0.1Ω。</w:t>
      </w:r>
      <w:r>
        <w:br/>
      </w:r>
      <w:r>
        <w:rPr/>
        <w:t>2.监控安装要求</w:t>
      </w:r>
      <w:r>
        <w:br/>
      </w:r>
      <w:r>
        <w:rPr/>
        <w:t>(1)立杆安装要求</w:t>
      </w:r>
      <w:r>
        <w:br/>
      </w:r>
      <w:r>
        <w:rPr/>
        <w:t>1)立杆高度为不少于5米，根据安装点实际情况及时调整。杆体为圆形锥杆，上对角90mm，下对角162mm，厚度4.0mm，横臂为60mm，厚度3.0mm采用Q235普通碳素结构钢制成。在杆的顶部设有φ25mm避雷针（与杆体一次成型）。</w:t>
      </w:r>
      <w:r>
        <w:br/>
      </w:r>
      <w:r>
        <w:rPr/>
        <w:t>2)横臂安装法兰应不少于3节，至少在底座上3m、4m、5m处各预留4个横臂安装法兰。</w:t>
      </w:r>
      <w:r>
        <w:br/>
      </w:r>
      <w:r>
        <w:rPr/>
        <w:t>3)为了方便快速定位监控点位，要求按甲方要求制订立杆编码。</w:t>
      </w:r>
      <w:r>
        <w:br/>
      </w:r>
      <w:r>
        <w:rPr/>
        <w:t>4)杆体喷涂处理：按甲方要求。</w:t>
      </w:r>
      <w:r>
        <w:br/>
      </w:r>
      <w:r>
        <w:rPr/>
        <w:t>(2)借杆/借墙横臂安装要求</w:t>
      </w:r>
      <w:r>
        <w:br/>
      </w:r>
      <w:r>
        <w:rPr/>
        <w:t xml:space="preserve">1)焊接牢固，无虚焊、假焊、裂缝等缺陷； </w:t>
      </w:r>
      <w:r>
        <w:br/>
      </w:r>
      <w:r>
        <w:rPr/>
        <w:t>2)立杆、横杆端部要求密封；</w:t>
      </w:r>
      <w:r>
        <w:br/>
      </w:r>
      <w:r>
        <w:rPr/>
        <w:t>3)借杆横臂采用钢材材质为Q235普通碳素结构钢（GB/T 700-2006）,口径对角φ60（3米横杆φ76），壁厚不低于3.0mm；</w:t>
      </w:r>
      <w:r>
        <w:br/>
      </w:r>
      <w:r>
        <w:rPr/>
        <w:t>4)借杆横臂受力支撑斜杆口径φ40（3米横杆φ60），壁厚不低于3.0mm；</w:t>
      </w:r>
      <w:r>
        <w:br/>
      </w:r>
      <w:r>
        <w:rPr/>
        <w:t>5)U型伸缩支架外管口径φ35内管口径φ28，壁厚不低于3.0mm；</w:t>
      </w:r>
      <w:r>
        <w:br/>
      </w:r>
      <w:r>
        <w:rPr/>
        <w:t>6)工件喷涂处理：喷锌/户外漆，白色。</w:t>
      </w:r>
      <w:r>
        <w:br/>
      </w:r>
      <w:r>
        <w:rPr/>
        <w:t>3.防雷接地要求</w:t>
      </w:r>
      <w:r>
        <w:br/>
      </w:r>
      <w:r>
        <w:rPr/>
        <w:t>(1)前端监控系统的防雷接地网设计严格执行国家的有关标准和规范，前端采集点防雷接地电阻≦10Ω。</w:t>
      </w:r>
      <w:r>
        <w:br/>
      </w:r>
      <w:r>
        <w:rPr/>
        <w:t>(2)当土壤电阻率太高而不能满足要求时，采用垂直接地极＋减阻剂的方法使地网接地电阻符合要求。</w:t>
      </w:r>
      <w:r>
        <w:br/>
      </w:r>
      <w:r>
        <w:rPr/>
        <w:t>4.供电要求</w:t>
      </w:r>
      <w:r>
        <w:br/>
      </w:r>
      <w:r>
        <w:rPr/>
        <w:t>(1)本期的接入点应就近选择稳定的一路220V市电作为接入点的供电电源，乙方需加装自动重合闸开关（含防雷浪涌保护器SPD），布放电力电缆（线径不小于2.5平方毫米）到接入点设备箱，保证引入部分电源线路的漏电及防雷保护，保障本期设备即联即用。</w:t>
      </w:r>
      <w:r>
        <w:br/>
      </w:r>
      <w:r>
        <w:rPr/>
        <w:t>(2)电源设备除电压、电流、功率符合容量要求外，还应尽量保证稳定性，必须考虑到控制时的大功率电流、多个负载同时启动时造成的压降，及到远距离传输时造成的压降等多方面的因素。</w:t>
      </w:r>
      <w:r>
        <w:br/>
      </w:r>
      <w:r>
        <w:rPr/>
        <w:t>(3)电源线的敷设应符合室外电线电缆的敷设标准和规范，并满足市政的相关要求。</w:t>
      </w:r>
      <w:r>
        <w:br/>
      </w:r>
      <w:r>
        <w:rPr/>
        <w:t>(4)本期项目中，联网供电由甲方协同当地供电部门、地铁部分等相关部门完成，市电AC220V电源输入至前端监控点控制箱的接入开关处，接入开关输出至前端设备的电源由项目乙方完善。</w:t>
      </w:r>
      <w:r>
        <w:br/>
      </w:r>
      <w:r>
        <w:rPr/>
        <w:t>(5)项目施工内需要保持安装地点的清洁文明，禁止影响周边环境。</w:t>
      </w:r>
      <w:r>
        <w:br/>
      </w:r>
      <w:r>
        <w:rPr/>
        <w:t>5.线路敷设与设备安装要求</w:t>
      </w:r>
      <w:r>
        <w:br/>
      </w:r>
      <w:r>
        <w:rPr/>
        <w:t>(1)线缆敷设要求</w:t>
      </w:r>
      <w:r>
        <w:br/>
      </w:r>
      <w:r>
        <w:rPr/>
        <w:t>1)电缆的弯曲半径应大于电缆直径的1.5倍；</w:t>
      </w:r>
      <w:r>
        <w:br/>
      </w:r>
      <w:r>
        <w:rPr/>
        <w:t>2)电源线宜与网线分开敷设；</w:t>
      </w:r>
      <w:r>
        <w:br/>
      </w:r>
      <w:r>
        <w:rPr/>
        <w:t>3)室外设备连接电缆时，从设备的下部进线；</w:t>
      </w:r>
      <w:r>
        <w:br/>
      </w:r>
      <w:r>
        <w:rPr/>
        <w:t>4)电缆长度逐盘核对，并根据设计图上各段线的长度来选配电缆，避免电缆的接续，当电缆需接续时采用专用接插件；</w:t>
      </w:r>
      <w:r>
        <w:br/>
      </w:r>
      <w:r>
        <w:rPr/>
        <w:t>5)系统供电（220VAC）布线与弱电信号布线分开。</w:t>
      </w:r>
      <w:r>
        <w:br/>
      </w:r>
      <w:r>
        <w:rPr/>
        <w:t>6)沿监控杆引上的摄像机电源线和视频信号线需考虑防雷保护：电源线和视频信号线应穿在金属管内以达到屏蔽作用，屏蔽金属管的两端均应接地。并在信号线和电源线上安装相应的防雷器。</w:t>
      </w:r>
      <w:r>
        <w:br/>
      </w:r>
      <w:r>
        <w:rPr/>
        <w:t>7)电源线、视频线信号线应自然平直，不得产生扭绞、打圈接头等现象，不应受外力的挤压和损伤。</w:t>
      </w:r>
      <w:r>
        <w:br/>
      </w:r>
      <w:r>
        <w:rPr/>
        <w:t>8)电源线与视频线信号线需分开布放，平行布放时，隔离应符合要求。</w:t>
      </w:r>
      <w:r>
        <w:br/>
      </w:r>
      <w:r>
        <w:rPr/>
        <w:t>9)电源线芯线间和芯线与地面的绝缘电阻应不小于1M欧姆。</w:t>
      </w:r>
      <w:r>
        <w:br/>
      </w:r>
      <w:r>
        <w:rPr/>
        <w:t>10)电源线必须根据设计要求穿铁管或PVC管后布放，铁管或PVC管质量和规格应符合设计规定，穿入管内的电源线不得有接头。</w:t>
      </w:r>
      <w:r>
        <w:br/>
      </w:r>
      <w:r>
        <w:rPr/>
        <w:t>(2)摄像机安装要求</w:t>
      </w:r>
      <w:r>
        <w:br/>
      </w:r>
      <w:r>
        <w:rPr/>
        <w:t>1)摄像机在安装前，应逐个通电检查和粗调。调整后焦面、电源同步等性能，在处于正常工作状态后方可安装。</w:t>
      </w:r>
      <w:r>
        <w:br/>
      </w:r>
      <w:r>
        <w:rPr/>
        <w:t>2)经功能检查、监视区域的观察和图像质量达标后方可固定。</w:t>
      </w:r>
      <w:r>
        <w:br/>
      </w:r>
      <w:r>
        <w:rPr/>
        <w:t>3)在高压带电的设备附近安装摄像机时，应遵守带电设备的安全规定。</w:t>
      </w:r>
      <w:r>
        <w:br/>
      </w:r>
      <w:r>
        <w:rPr/>
        <w:t>4)摄像机信号网线和电源导线应分别引入，并用金属管保护，不影响摄像机的转动。</w:t>
      </w:r>
      <w:r>
        <w:br/>
      </w:r>
      <w:r>
        <w:rPr/>
        <w:t>5)摄像机配套装置（防护罩、支架、雨刷等设备），安装时应灵活牢固。</w:t>
      </w:r>
      <w:r>
        <w:br/>
      </w:r>
      <w:r>
        <w:rPr/>
        <w:t>6)摄像机宜安装在监视目标附近，不易受到外界损伤的地方，安装位置不应影响附近现场人员的工作和正常活动。</w:t>
      </w:r>
      <w:r>
        <w:br/>
      </w:r>
      <w:r>
        <w:rPr/>
        <w:t>7)摄像机的安装必须牢固，应装在不易振动，行人难以接近的场所。</w:t>
      </w:r>
      <w:r>
        <w:br/>
      </w:r>
      <w:r>
        <w:rPr/>
        <w:t>8)鉴于技防工程的特殊要求，摄像机一律加装防护罩。</w:t>
      </w:r>
      <w:r>
        <w:br/>
      </w:r>
      <w:r>
        <w:rPr/>
        <w:t>9)在室外安装的摄像机要加防雷防拆装置。</w:t>
      </w:r>
      <w:r>
        <w:br/>
      </w:r>
      <w:r>
        <w:rPr/>
        <w:t>10)从摄像机引出的电缆宜预留1m左右的余量，不影响摄像机的转动，摄像机的电源和网线均应固定，不得用接头或插头承受线缆的自重。</w:t>
      </w:r>
      <w:r>
        <w:br/>
      </w:r>
      <w:r>
        <w:rPr/>
        <w:t>6.接电防漏电保护</w:t>
      </w:r>
      <w:r>
        <w:br/>
      </w:r>
      <w:r>
        <w:rPr/>
        <w:t>(1)所有接电必须做好防水浸漏电的保护措施，尤其是落地电箱到挂箱，以及挂箱到前端设备间原则上不允许强电接驳，必须采用整条完整电缆。</w:t>
      </w:r>
      <w:r>
        <w:br/>
      </w:r>
      <w:r>
        <w:rPr/>
        <w:t>(2)为了防止触电事故的发生，前端设备需要供电的回路上接入漏电保护器（漏电保护断路器），动作电流为30毫安。</w:t>
      </w:r>
      <w:r>
        <w:br/>
      </w:r>
      <w:r>
        <w:rPr/>
        <w:t>（五）其他服务要求</w:t>
      </w:r>
      <w:r>
        <w:br/>
      </w:r>
      <w:r>
        <w:rPr/>
        <w:t>1.培训服务</w:t>
      </w:r>
      <w:r>
        <w:br/>
      </w:r>
      <w:r>
        <w:rPr/>
        <w:t>项目实施安装现场须为甲方提供不限名额的技术培训，确保使用人员能够尽快掌握操作及保养流程，以及正常使用和处理常见的故障。</w:t>
      </w:r>
      <w:r>
        <w:br/>
      </w:r>
      <w:r>
        <w:rPr/>
        <w:t>培训需要表如下：</w:t>
      </w:r>
    </w:p>
    <w:tbl>
      <w:tblPr>
        <w:tblW w:w="0" w:type="auto"/>
        <w:tblBorders>
          <w:top w:val="none" w:color="000000" w:sz="4"/>
          <w:left w:val="none" w:color="000000" w:sz="4"/>
          <w:bottom w:val="none" w:color="000000" w:sz="4"/>
          <w:right w:val="none" w:color="000000" w:sz="4"/>
          <w:insideH w:val="none"/>
          <w:insideV w:val="none"/>
        </w:tblBorders>
      </w:tblPr>
      <w:tblGrid>
        <w:gridCol w:w="1630"/>
        <w:gridCol w:w="3002"/>
        <w:gridCol w:w="3674"/>
      </w:tblGrid>
      <w:tr>
        <w:tc>
          <w:tcPr>
            <w:tcW w:type="dxa" w:w="1630"/>
            <w:tcBorders>
              <w:top w:val="single" w:color="000000" w:sz="8"/>
              <w:left w:val="single" w:color="000000" w:sz="8"/>
              <w:bottom w:val="single" w:color="000000" w:sz="8"/>
              <w:right w:val="single" w:color="000000" w:sz="8"/>
            </w:tcBorders>
            <w:shd w:fill="D9D9D9"/>
            <w:vAlign w:val="top"/>
          </w:tcPr>
          <w:p>
            <w:pPr>
              <w:jc w:val="center"/>
            </w:pPr>
            <w:r>
              <w:rPr>
                <w:b/>
                <w:sz w:val="21"/>
              </w:rPr>
              <w:t>课程名称</w:t>
            </w:r>
          </w:p>
        </w:tc>
        <w:tc>
          <w:tcPr>
            <w:tcW w:type="dxa" w:w="3002"/>
            <w:tcBorders>
              <w:top w:val="single" w:color="000000" w:sz="8"/>
              <w:left w:val="single" w:color="000000" w:sz="8"/>
              <w:bottom w:val="single" w:color="000000" w:sz="8"/>
              <w:right w:val="single" w:color="000000" w:sz="8"/>
            </w:tcBorders>
            <w:shd w:fill="D9D9D9"/>
            <w:vAlign w:val="top"/>
          </w:tcPr>
          <w:p>
            <w:pPr>
              <w:jc w:val="center"/>
            </w:pPr>
            <w:r>
              <w:rPr>
                <w:b/>
                <w:sz w:val="21"/>
              </w:rPr>
              <w:t>提供的资料</w:t>
            </w:r>
          </w:p>
        </w:tc>
        <w:tc>
          <w:tcPr>
            <w:tcW w:type="dxa" w:w="3674"/>
            <w:tcBorders>
              <w:top w:val="single" w:color="000000" w:sz="8"/>
              <w:left w:val="single" w:color="000000" w:sz="8"/>
              <w:bottom w:val="single" w:color="000000" w:sz="8"/>
              <w:right w:val="single" w:color="000000" w:sz="8"/>
            </w:tcBorders>
            <w:shd w:fill="D9D9D9"/>
            <w:vAlign w:val="top"/>
          </w:tcPr>
          <w:p>
            <w:pPr>
              <w:jc w:val="center"/>
            </w:pPr>
            <w:r>
              <w:rPr>
                <w:b/>
                <w:sz w:val="21"/>
              </w:rPr>
              <w:t>培训对象</w:t>
            </w:r>
          </w:p>
        </w:tc>
      </w:tr>
      <w:tr>
        <w:tc>
          <w:tcPr>
            <w:tcW w:type="dxa" w:w="1630"/>
            <w:tcBorders>
              <w:top w:val="none" w:color="000000" w:sz="4"/>
              <w:left w:val="single" w:color="000000" w:sz="8"/>
              <w:bottom w:val="single" w:color="000000" w:sz="8"/>
              <w:right w:val="single" w:color="000000" w:sz="8"/>
            </w:tcBorders>
            <w:vAlign w:val="top"/>
          </w:tcPr>
          <w:p>
            <w:pPr>
              <w:jc w:val="center"/>
            </w:pPr>
            <w:r>
              <w:rPr>
                <w:sz w:val="21"/>
              </w:rPr>
              <w:t>理论培训</w:t>
            </w:r>
          </w:p>
        </w:tc>
        <w:tc>
          <w:tcPr>
            <w:tcW w:type="dxa" w:w="3002"/>
            <w:tcBorders>
              <w:top w:val="none" w:color="000000" w:sz="4"/>
              <w:left w:val="single" w:color="000000" w:sz="8"/>
              <w:bottom w:val="single" w:color="000000" w:sz="8"/>
              <w:right w:val="single" w:color="000000" w:sz="8"/>
            </w:tcBorders>
            <w:vAlign w:val="top"/>
          </w:tcPr>
          <w:p>
            <w:pPr>
              <w:jc w:val="center"/>
            </w:pPr>
            <w:r>
              <w:rPr>
                <w:sz w:val="21"/>
              </w:rPr>
              <w:t>相关设备资料</w:t>
            </w:r>
          </w:p>
          <w:p>
            <w:pPr>
              <w:jc w:val="center"/>
            </w:pPr>
            <w:r>
              <w:rPr>
                <w:sz w:val="21"/>
              </w:rPr>
              <w:t>《设备操作规程》</w:t>
            </w:r>
          </w:p>
          <w:p>
            <w:pPr>
              <w:jc w:val="center"/>
            </w:pPr>
            <w:r>
              <w:rPr>
                <w:sz w:val="21"/>
              </w:rPr>
              <w:t>《设备管理维护手册》</w:t>
            </w:r>
          </w:p>
          <w:p>
            <w:pPr>
              <w:jc w:val="center"/>
            </w:pPr>
            <w:r>
              <w:rPr>
                <w:sz w:val="21"/>
              </w:rPr>
              <w:t>《设备常见故障检修手册》</w:t>
            </w:r>
          </w:p>
          <w:p>
            <w:pPr>
              <w:jc w:val="center"/>
            </w:pPr>
            <w:r>
              <w:rPr>
                <w:sz w:val="21"/>
              </w:rPr>
              <w:t>《软件功能说明书》</w:t>
            </w:r>
          </w:p>
        </w:tc>
        <w:tc>
          <w:tcPr>
            <w:tcW w:type="dxa" w:w="3674"/>
            <w:tcBorders>
              <w:top w:val="none" w:color="000000" w:sz="4"/>
              <w:left w:val="single" w:color="000000" w:sz="8"/>
              <w:bottom w:val="single" w:color="000000" w:sz="8"/>
              <w:right w:val="single" w:color="000000" w:sz="8"/>
            </w:tcBorders>
            <w:vAlign w:val="top"/>
          </w:tcPr>
          <w:p>
            <w:pPr>
              <w:jc w:val="center"/>
            </w:pPr>
            <w:r>
              <w:rPr>
                <w:sz w:val="21"/>
              </w:rPr>
              <w:t>后台值班人员，系统维护检修人员</w:t>
            </w:r>
          </w:p>
        </w:tc>
      </w:tr>
      <w:tr>
        <w:tc>
          <w:tcPr>
            <w:tcW w:type="dxa" w:w="1630"/>
            <w:tcBorders>
              <w:top w:val="none" w:color="000000" w:sz="4"/>
              <w:left w:val="single" w:color="000000" w:sz="8"/>
              <w:bottom w:val="single" w:color="000000" w:sz="8"/>
              <w:right w:val="single" w:color="000000" w:sz="8"/>
            </w:tcBorders>
            <w:vAlign w:val="top"/>
          </w:tcPr>
          <w:p>
            <w:pPr>
              <w:jc w:val="center"/>
            </w:pPr>
            <w:r>
              <w:rPr>
                <w:sz w:val="21"/>
              </w:rPr>
              <w:t>实际操作培训</w:t>
            </w:r>
          </w:p>
        </w:tc>
        <w:tc>
          <w:tcPr>
            <w:tcW w:type="dxa" w:w="3002"/>
            <w:tcBorders>
              <w:top w:val="none" w:color="000000" w:sz="4"/>
              <w:left w:val="single" w:color="000000" w:sz="8"/>
              <w:bottom w:val="single" w:color="000000" w:sz="8"/>
              <w:right w:val="single" w:color="000000" w:sz="8"/>
            </w:tcBorders>
            <w:vAlign w:val="top"/>
          </w:tcPr>
          <w:p>
            <w:pPr>
              <w:jc w:val="center"/>
            </w:pPr>
            <w:r>
              <w:rPr>
                <w:sz w:val="21"/>
              </w:rPr>
              <w:t>《设备操作规程》</w:t>
            </w:r>
          </w:p>
          <w:p>
            <w:pPr>
              <w:jc w:val="center"/>
            </w:pPr>
            <w:r>
              <w:rPr>
                <w:sz w:val="21"/>
              </w:rPr>
              <w:t>《设备管理维护手册》</w:t>
            </w:r>
          </w:p>
          <w:p>
            <w:pPr>
              <w:jc w:val="center"/>
            </w:pPr>
            <w:r>
              <w:rPr>
                <w:sz w:val="21"/>
              </w:rPr>
              <w:t>《设备常见故障检修手册》</w:t>
            </w:r>
          </w:p>
          <w:p>
            <w:pPr>
              <w:jc w:val="center"/>
            </w:pPr>
            <w:r>
              <w:rPr>
                <w:sz w:val="21"/>
              </w:rPr>
              <w:t>《软件功能说明书》</w:t>
            </w:r>
          </w:p>
        </w:tc>
        <w:tc>
          <w:tcPr>
            <w:tcW w:type="dxa" w:w="3674"/>
            <w:tcBorders>
              <w:top w:val="none" w:color="000000" w:sz="4"/>
              <w:left w:val="single" w:color="000000" w:sz="8"/>
              <w:bottom w:val="single" w:color="000000" w:sz="8"/>
              <w:right w:val="single" w:color="000000" w:sz="8"/>
            </w:tcBorders>
            <w:vAlign w:val="top"/>
          </w:tcPr>
          <w:p>
            <w:pPr>
              <w:jc w:val="center"/>
            </w:pPr>
            <w:r>
              <w:rPr>
                <w:sz w:val="21"/>
              </w:rPr>
              <w:t>后台值班人员，系统维护检修人员</w:t>
            </w:r>
          </w:p>
        </w:tc>
      </w:tr>
    </w:tbl>
    <w:p>
      <w:pPr>
        <w:ind w:firstLine="420"/>
      </w:pPr>
      <w:r>
        <w:rPr/>
        <w:t>2.备件要求</w:t>
      </w:r>
      <w:r>
        <w:br/>
      </w:r>
      <w:r>
        <w:rPr/>
        <w:t>乙方应为项目设立专用的备品备件库，对常规设备、配件均做一定数量的预备；对主体功能设备及网络设备提供同功能、档次的备件品。</w:t>
      </w:r>
      <w:r>
        <w:br/>
      </w:r>
      <w:r>
        <w:rPr/>
        <w:t>3.不属于乙方承担维护费用范围</w:t>
      </w:r>
      <w:r>
        <w:br/>
      </w:r>
      <w:r>
        <w:rPr/>
        <w:t>(1)由于不可抗力的原因，如台风、地震、战争造成设备损坏的；</w:t>
      </w:r>
      <w:r>
        <w:br/>
      </w:r>
      <w:r>
        <w:rPr/>
        <w:t>(2)由于交通管理或物业的原因，由甲方提出对设备进行迁移、新建、改建的；</w:t>
      </w:r>
      <w:r>
        <w:br/>
      </w:r>
      <w:r>
        <w:rPr/>
        <w:t>(3)由于人为事故造成的设备损坏，乙方能够提供相关证据，肇事者对设备已经赔付的，由甲方恢复；</w:t>
      </w:r>
      <w:r>
        <w:br/>
      </w:r>
      <w:r>
        <w:rPr/>
        <w:t>4.维护工作交接问题</w:t>
      </w:r>
      <w:r>
        <w:br/>
      </w:r>
      <w:r>
        <w:rPr/>
        <w:t>(1) 质保维护期结束后，由乙方与下一任维护服务商进行交接，乙方应确保所有移交设备均为正常运行，能被下一任维护服务商接收，甲方不再组织与下一任维护服务商的交接工作。</w:t>
      </w:r>
      <w:r>
        <w:br/>
      </w:r>
      <w:r>
        <w:rPr/>
        <w:t>(2)乙方必须保证在下一任维护服务单位自运维合同签订之日起3日内完成与下一任维护服务单位的工作交接，15日后全面负责所有维保工作并确保本项目所涉系统正常运行。</w:t>
      </w:r>
      <w:r>
        <w:br/>
      </w:r>
      <w:r>
        <w:rPr/>
        <w:t>5.电费</w:t>
      </w:r>
      <w:r>
        <w:br/>
      </w:r>
      <w:r>
        <w:rPr/>
        <w:t>质保运维期内，前端设备产生的所有电费，包括市电电费、协商借电电费等，均由乙方缴纳。该费用已包含在维护费用报价里。</w:t>
      </w:r>
      <w:r>
        <w:br/>
      </w:r>
      <w:r>
        <w:rPr/>
        <w:t>6.漏电检测</w:t>
      </w:r>
      <w:r>
        <w:br/>
      </w:r>
      <w:r>
        <w:rPr/>
        <w:t>乙方需做好设备的漏电检测，对维护设备、外接用电设备进行漏电检测以及对设备周围的金属构件进行检测，防止金属构件意外带电，乙方所有的维护设施不得发生漏电事故，否则一切责任及造成的全部损失由乙方负责。</w:t>
      </w:r>
      <w:r>
        <w:br/>
      </w:r>
      <w:r>
        <w:rPr/>
        <w:t>7.重新取电</w:t>
      </w:r>
      <w:r>
        <w:br/>
      </w:r>
      <w:r>
        <w:rPr/>
        <w:t>设备因为迁移或原来取电点已经不再具备取电的条件，由乙方自行报装取电或就近协商借电，相关取电费用由乙方解决，甲方不再增加费用。</w:t>
      </w:r>
      <w:r>
        <w:br/>
      </w:r>
      <w:r>
        <w:rPr/>
        <w:t>8.安全生产责任</w:t>
      </w:r>
      <w:r>
        <w:br/>
      </w:r>
      <w:r>
        <w:rPr/>
        <w:t>乙方要严格落实各项安全生产制度，维护人员因为在工作中引起的各种工伤、安全事件和事故，均由乙方负责，甲方免于一切责任。</w:t>
      </w:r>
      <w:r>
        <w:br/>
      </w:r>
      <w:r>
        <w:rPr>
          <w:b/>
          <w:color w:val="000000"/>
          <w:sz w:val="21"/>
        </w:rPr>
        <w:t>六、包装、保险及发运、保管要求：</w:t>
      </w:r>
      <w:r>
        <w:br/>
      </w:r>
      <w:r>
        <w:rPr/>
        <w:t>1.设备材料的包装必须是制造商原厂包装，其包装均应有良好的防湿、防锈、防潮、防雨、防腐及防碰撞的措施。凡由于包装不良造成的损失和由此产生的费用均由乙方承担。</w:t>
      </w:r>
      <w:r>
        <w:br/>
      </w:r>
      <w:r>
        <w:rPr/>
        <w:t>2.乙方负责将设备材料货到现场过程中的全部运输，包括装卸车、货物现场的搬运。</w:t>
      </w:r>
      <w:r>
        <w:br/>
      </w:r>
      <w:r>
        <w:rPr/>
        <w:t>3.各种设备必须提供装箱清单，按装箱清单验收货物。</w:t>
      </w:r>
      <w:r>
        <w:br/>
      </w:r>
      <w:r>
        <w:rPr/>
        <w:t>4.货物在现场的保管由乙方负责，直至项目安装、验收完毕。</w:t>
      </w:r>
      <w:r>
        <w:br/>
      </w:r>
      <w:r>
        <w:rPr/>
        <w:t>5.货物在系统安装调试验收合格前的保险由乙方负责，乙方负责其派出的现场服务人员人身意外保险。</w:t>
      </w:r>
      <w:r>
        <w:br/>
      </w:r>
      <w:r>
        <w:rPr/>
        <w:t>6.设备至甲方指定的使用现场的包装、保险及发运等环节和费用均由乙方负责。</w:t>
      </w:r>
      <w:r>
        <w:br/>
      </w:r>
      <w:r>
        <w:rPr>
          <w:b/>
          <w:color w:val="000000"/>
          <w:sz w:val="21"/>
        </w:rPr>
        <w:t>七、安装与调试：</w:t>
      </w:r>
      <w:r>
        <w:br/>
      </w:r>
      <w:r>
        <w:rPr/>
        <w:t>以符合竞争性磋商文件要求和响应承诺的前提下，乙方将设备（系统）安装并调试至正常运行的最佳状态且双方均认为满意。</w:t>
      </w:r>
      <w:r>
        <w:br/>
      </w:r>
      <w:r>
        <w:rPr>
          <w:b/>
          <w:color w:val="000000"/>
          <w:sz w:val="21"/>
        </w:rPr>
        <w:t>八、验收标准与要求：</w:t>
      </w:r>
      <w:r>
        <w:br/>
      </w:r>
      <w:r>
        <w:rPr/>
        <w:t>1.全部合同货物到达交货地点且甲方收到验收建议之日起7日内按照合同的约定对履约情况进行验收。</w:t>
      </w:r>
      <w:r>
        <w:br/>
      </w:r>
      <w:r>
        <w:rPr/>
        <w:t>2.设备验收在甲方和乙方双方共同参与下按国家有关的规定、规范进行；</w:t>
      </w:r>
      <w:r>
        <w:br/>
      </w:r>
      <w:r>
        <w:rPr/>
        <w:t>3.验收时如发现所交付的设备有短装、次品、损坏或其它不符合本合同规定之情形者，甲方应作出详尽的现场记录，或由甲方、乙方双方签署备忘录。此现场记录或备忘录可用作补充、缺失和更换损坏部件的有效证据。因此产生的有关费用由乙方承担；</w:t>
      </w:r>
      <w:r>
        <w:br/>
      </w:r>
      <w:r>
        <w:rPr/>
        <w:t>4.如果合同设备运输和安装过程中因事故造成货物短缺、损坏，乙方应及时安排补货、换货， 以保证合同设备安装的成功完成。换货的相关费用由乙方承担；</w:t>
      </w:r>
      <w:r>
        <w:br/>
      </w:r>
      <w:r>
        <w:rPr/>
        <w:t>5.乙方保证合同项下提供的设备不侵犯任何第三方的专利、商标或版权。否则，乙方须承担 对第三方的专利或版权的侵权责任并承担因此而发生的所有费用。</w:t>
      </w:r>
      <w:r>
        <w:br/>
      </w:r>
      <w:r>
        <w:rPr/>
        <w:t>6.交付验收标准依次序对照适用标准</w:t>
      </w:r>
      <w:r>
        <w:br/>
      </w:r>
      <w:r>
        <w:rPr/>
        <w:t>(1)符合中华人民共和国国家安全质量标准、环保标准或行业标准；</w:t>
      </w:r>
      <w:r>
        <w:br/>
      </w:r>
      <w:r>
        <w:rPr/>
        <w:t>(2)符合竞争性磋商和响应承诺中甲方认可的合理最佳配置、参数及各项要求；</w:t>
      </w:r>
      <w:r>
        <w:br/>
      </w:r>
      <w:r>
        <w:rPr/>
        <w:t>(3)货物来源国官方标准。</w:t>
      </w:r>
      <w:r>
        <w:br/>
      </w:r>
      <w:r>
        <w:rPr/>
        <w:t>7.设备要求</w:t>
      </w:r>
      <w:r>
        <w:br/>
      </w:r>
      <w:r>
        <w:rPr/>
        <w:t>(1)货物为原制造商制造的全新产品，整机无污染，无侵权行为、表面无划损、无任何缺陷隐患，在中国境内可依常规安全合法使用。</w:t>
      </w:r>
      <w:r>
        <w:br/>
      </w:r>
      <w:r>
        <w:rPr/>
        <w:t>(2)货物为原厂商未启封全新包装，具出厂合格证，序列号、包装箱号与出厂批号一致，并可追索查阅。</w:t>
      </w:r>
      <w:r>
        <w:br/>
      </w:r>
      <w:r>
        <w:rPr/>
        <w:t>(3)有关键主机设备的用户手册、保修手册、有关单证资料及配备件、随机工具等，使用操作及安全 须知等重要资料应附有中文说明。</w:t>
      </w:r>
      <w:r>
        <w:br/>
      </w:r>
      <w:r>
        <w:rPr/>
        <w:t>8.其他验收要求：（补充内容不得对竞争性磋商文件和投标/响应文件作实质性修改）</w:t>
      </w:r>
      <w:r>
        <w:br/>
      </w:r>
      <w:r>
        <w:rPr>
          <w:u w:val="single"/>
        </w:rPr>
        <w:t xml:space="preserve">                               </w:t>
      </w:r>
      <w:r>
        <w:rPr/>
        <w:t xml:space="preserve"> 。</w:t>
      </w:r>
      <w:r>
        <w:br/>
      </w:r>
      <w:r>
        <w:rPr>
          <w:b/>
          <w:color w:val="000000"/>
          <w:sz w:val="21"/>
        </w:rPr>
        <w:t>九、售后服务要求：</w:t>
      </w:r>
      <w:r>
        <w:br/>
      </w:r>
      <w:r>
        <w:rPr/>
        <w:t>1.乙方应承诺服务响应时间为1小时，收到甲方的报修信息后，维护工程师在4小时内到达现场，如故障无法排除，乙方应为甲方免费提供同品牌、型号或更高型号的部件进行更换确保系统正常运行。</w:t>
      </w:r>
      <w:r>
        <w:br/>
      </w:r>
      <w:r>
        <w:rPr/>
        <w:t>2.故障因为第三方原因在限时解决时间内无法完成修复的应申请延期，具体延期时间以甲方批准时间为准。</w:t>
      </w:r>
      <w:r>
        <w:br/>
      </w:r>
      <w:r>
        <w:rPr/>
        <w:t>3.甲方报障方式和前端设备维修时限性</w:t>
      </w:r>
      <w:r>
        <w:br/>
      </w:r>
      <w:r>
        <w:rPr/>
        <w:t>甲方可以通过电话、口头、微信群、QQ群或工单等方式进行报障，以上任何一种方式都认为是有效报障方式。</w:t>
      </w:r>
      <w:r>
        <w:br/>
      </w:r>
      <w:r>
        <w:rPr/>
        <w:t>4.乙方负责向甲方提供现场安全操作及必要的维护保养培训。</w:t>
      </w:r>
      <w:r>
        <w:br/>
      </w:r>
      <w:r>
        <w:rPr/>
        <w:t>5.乙方设有长期稳定可靠的售后服务机构，并提供常设服务专线和长期的免费技术支持（按乙方的投标/响应文件和承诺文件内容）：</w:t>
      </w:r>
      <w:r>
        <w:br/>
      </w:r>
      <w:r>
        <w:rPr>
          <w:u w:val="single"/>
        </w:rPr>
        <w:t xml:space="preserve">                                 </w:t>
      </w:r>
      <w:r>
        <w:rPr/>
        <w:t>。</w:t>
      </w:r>
      <w:r>
        <w:br/>
      </w:r>
      <w:r>
        <w:rPr/>
        <w:t xml:space="preserve">1.乙方售后服务机构名称及地址：                                                                                        </w:t>
      </w:r>
      <w:r>
        <w:br/>
      </w:r>
      <w:r>
        <w:rPr/>
        <w:t>联系人1：          ，联系电话：            ，手机：          ；</w:t>
      </w:r>
      <w:r>
        <w:br/>
      </w:r>
      <w:r>
        <w:rPr/>
        <w:t>联系人2：          ，联系电话：            ，手机：          ；</w:t>
      </w:r>
      <w:r>
        <w:br/>
      </w:r>
      <w:r>
        <w:rPr/>
        <w:t>2.其他售后服务补充内容：（补充内容不得对竞争性磋商文件和投标/响应文件作实质性修改）</w:t>
      </w:r>
      <w:r>
        <w:br/>
      </w:r>
      <w:r>
        <w:rPr>
          <w:u w:val="single"/>
        </w:rPr>
        <w:t xml:space="preserve">                                 </w:t>
      </w:r>
      <w:r>
        <w:rPr/>
        <w:t>。</w:t>
      </w:r>
      <w:r>
        <w:br/>
      </w:r>
      <w:r>
        <w:rPr>
          <w:b/>
          <w:color w:val="000000"/>
          <w:sz w:val="21"/>
        </w:rPr>
        <w:t xml:space="preserve">十、知识产权和保密要求： </w:t>
      </w:r>
      <w:r>
        <w:br/>
      </w:r>
      <w:r>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r>
        <w:br/>
      </w:r>
      <w:r>
        <w:rPr/>
        <w:t>2.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r>
        <w:br/>
      </w:r>
      <w:r>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r>
        <w:br/>
      </w:r>
      <w:r>
        <w:rPr/>
        <w:t>2）除了合同本身之外，上款所列举的任何物件均是甲方的财产。如果甲方有要求，乙方在完成合同后应将这些物件及全部复制件还给甲方。</w:t>
      </w:r>
      <w:r>
        <w:br/>
      </w:r>
      <w:r>
        <w:rPr>
          <w:b/>
          <w:color w:val="000000"/>
          <w:sz w:val="21"/>
        </w:rPr>
        <w:t>十一、违约责任：</w:t>
      </w:r>
      <w:r>
        <w:br/>
      </w:r>
      <w:r>
        <w:rPr/>
        <w:t>1.乙方交付的货物不符合磋商文件、投标文件或本合同规定的，甲方有权拒收，并且乙方须向甲方支付本合同总价5%的违约金并在甲方规定的期限内更正，乙方不予更正或更正后仍不符合合同约定的，甲方有权解除合同，要求乙方支付合同总额30%的违约金，造成甲方其他损失的，乙方应予以赔偿。</w:t>
      </w:r>
      <w:r>
        <w:br/>
      </w:r>
      <w:r>
        <w:rPr/>
        <w:t>2.乙方未能按本合同规定的交货时间交付货物，从逾期之日起每日按本合同总价万分之五的数额向甲方支付违约金；逾期15天以上（含15天）的，甲方有权终止合同，要求乙方支付合同总额30%的违约金，造成甲方其他损失的，乙方应予以赔偿。</w:t>
      </w:r>
      <w:r>
        <w:br/>
      </w:r>
      <w:r>
        <w:rPr/>
        <w:t>3.甲方无正当理由拒收货物，到期拒付货物款项的，甲方向乙方偿付本合同总价的5%的违约金。甲方逾期付款，则每日按本合同总价的万分之五向乙方偿付违约金。</w:t>
      </w:r>
      <w:r>
        <w:br/>
      </w:r>
      <w:r>
        <w:rPr/>
        <w:t>4.其它违约责任按《中华人民共和国民法典》处理。</w:t>
      </w:r>
      <w:r>
        <w:br/>
      </w:r>
      <w:r>
        <w:rPr>
          <w:b/>
          <w:color w:val="000000"/>
          <w:sz w:val="21"/>
        </w:rPr>
        <w:t>十二、提出异议的时间和方法：</w:t>
      </w:r>
      <w:r>
        <w:br/>
      </w:r>
      <w:r>
        <w:rPr/>
        <w:t>1.甲方在验收后     天内如对货物的型号、规格、质量有异议时，应在妥善保管货物的同时，即向乙方提出书面异议。</w:t>
      </w:r>
      <w:r>
        <w:br/>
      </w:r>
      <w:r>
        <w:rPr/>
        <w:t>2.乙方在接到甲方书面异议后，应在3天内负责处理并函复甲方处理情况，否则，即视为默认甲方提出的异议和处理意见。</w:t>
      </w:r>
      <w:r>
        <w:br/>
      </w:r>
      <w:r>
        <w:rPr/>
        <w:t>3.甲方因违章操作、保管、保养不善等人为造成货物损毁，所提出的异议乙方有权不予接受。</w:t>
      </w:r>
      <w:r>
        <w:br/>
      </w:r>
      <w:r>
        <w:rPr/>
        <w:t>4.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r>
        <w:br/>
      </w:r>
      <w:r>
        <w:rPr>
          <w:b/>
          <w:color w:val="000000"/>
          <w:sz w:val="21"/>
        </w:rPr>
        <w:t>十三、争议的解决：</w:t>
      </w:r>
      <w:r>
        <w:br/>
      </w:r>
      <w:r>
        <w:rPr/>
        <w:t>1.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r>
        <w:br/>
      </w:r>
      <w:r>
        <w:rPr/>
        <w:t>2.法院审理期间，除提交法院审理的事项外，其它无争议的事项和条款仍应继续履行。</w:t>
      </w:r>
      <w:r>
        <w:br/>
      </w:r>
      <w:r>
        <w:rPr>
          <w:b/>
          <w:color w:val="000000"/>
          <w:sz w:val="21"/>
        </w:rPr>
        <w:t xml:space="preserve">十四、不可抗力： </w:t>
      </w:r>
      <w:r>
        <w:br/>
      </w:r>
      <w:r>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r>
        <w:br/>
      </w:r>
      <w:r>
        <w:rPr>
          <w:b/>
          <w:color w:val="000000"/>
          <w:sz w:val="21"/>
        </w:rPr>
        <w:t>十五、税费：</w:t>
      </w:r>
      <w:r>
        <w:br/>
      </w:r>
      <w:r>
        <w:rPr/>
        <w:t>1.本合同实施过程中所发生的一切税费及不可预见费均由乙方承担。</w:t>
      </w:r>
      <w:r>
        <w:br/>
      </w:r>
      <w:r>
        <w:rPr/>
        <w:t>2.乙方依照税务规章优先在合同履约地开具发票及纳税，咨询：0757-12366。</w:t>
      </w:r>
      <w:r>
        <w:br/>
      </w:r>
      <w:r>
        <w:rPr>
          <w:b/>
          <w:color w:val="000000"/>
          <w:sz w:val="21"/>
        </w:rPr>
        <w:t>十六、合同生效与合同备案：</w:t>
      </w:r>
      <w:r>
        <w:br/>
      </w:r>
      <w:r>
        <w:rPr/>
        <w:t>1.本合同在甲乙双方法人代表或其授权代表签字盖章后生效。</w:t>
      </w:r>
      <w:r>
        <w:br/>
      </w:r>
      <w:r>
        <w:rPr/>
        <w:t>2.自采购合同签订之日起7个工作日内，由甲方按照有关规定将采购合同副本报同级人民政府财政部门（政府采购管理部门）备案。</w:t>
      </w:r>
      <w:r>
        <w:br/>
      </w:r>
      <w:r>
        <w:rPr>
          <w:b/>
          <w:color w:val="000000"/>
          <w:sz w:val="21"/>
        </w:rPr>
        <w:t>十七、乙方应提供的资料内容：</w:t>
      </w:r>
      <w:r>
        <w:br/>
      </w:r>
      <w:r>
        <w:rPr/>
        <w:t>1.进口产品必须提供原产地证明和中国商检证明及合法进货渠道全套单证。</w:t>
      </w:r>
      <w:r>
        <w:br/>
      </w:r>
      <w:r>
        <w:rPr/>
        <w:t>2.中国境内制造的产品必须提供出厂合格证，并提供甲方名下终端客户保修注册资料。</w:t>
      </w:r>
      <w:r>
        <w:br/>
      </w:r>
      <w:r>
        <w:rPr/>
        <w:t>3.关键产品/主机设备的用户手册、保修手册、有关单证资料及配备件、随机工具等，使用操作及安全须知等重要资料应附有中文说明。</w:t>
      </w:r>
      <w:r>
        <w:br/>
      </w:r>
      <w:r>
        <w:rPr>
          <w:b/>
          <w:color w:val="000000"/>
          <w:sz w:val="21"/>
        </w:rPr>
        <w:t>十八、关于政府采购合同融资</w:t>
      </w:r>
      <w:r>
        <w:br/>
      </w:r>
      <w:r>
        <w:rPr/>
        <w:t>1.乙方是否已申请政府采购合同融资：  是  / 否  ；</w:t>
      </w:r>
      <w:r>
        <w:br/>
      </w:r>
      <w:r>
        <w:rPr/>
        <w:t>融资银行及联系方式：                                            。</w:t>
      </w:r>
      <w:r>
        <w:br/>
      </w:r>
      <w:r>
        <w:rPr/>
        <w:t>2.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br/>
      </w:r>
      <w:r>
        <w:rPr>
          <w:b/>
          <w:color w:val="000000"/>
          <w:sz w:val="21"/>
        </w:rPr>
        <w:t>十九、其它：</w:t>
      </w:r>
      <w:r>
        <w:br/>
      </w:r>
      <w:r>
        <w:rPr/>
        <w:t>1.所有经一方或双方签署确认的文件（包括会议纪要、补充协议、往来信函）、竞争性磋商文件、要约文件和响应承诺文件、合同附件及中标（成交）通知书均为本合同不可分割的有效组成部分，与本合同具有同等的法律效力和履约义务，其缔约生效日期为有效签署或盖章确认之日期。</w:t>
      </w:r>
      <w:r>
        <w:br/>
      </w:r>
      <w:r>
        <w:rPr/>
        <w:t>2.如一方（包括联系人）地址、电话、传真号码有变更，应在变更后3个工作日内书面通知对方联系人或负责人，否则，因此造成的损失由未履行通知义务方承担相应责任。</w:t>
      </w:r>
      <w:r>
        <w:br/>
      </w:r>
      <w:r>
        <w:rPr/>
        <w:t>3.未经甲方书面同意，乙方不得擅自向第三方转让其主体性和关键性合同义务。</w:t>
      </w:r>
      <w:r>
        <w:br/>
      </w:r>
      <w:r>
        <w:rPr/>
        <w:t>4.本合同一式     份，甲方执     份，乙方执     份，代理机构执壹份。</w:t>
      </w:r>
      <w:r>
        <w:br/>
      </w:r>
      <w:r>
        <w:rPr/>
        <w:t>5.本合同（含附件）共计     页A4纸张，缺页之合同为无效合同。</w:t>
      </w:r>
      <w:r>
        <w:br/>
      </w:r>
      <w:r>
        <w:rPr/>
        <w:t>6.本合同签约履约地点：广东省佛山市。</w:t>
      </w:r>
      <w:r>
        <w:br/>
      </w:r>
      <w:r>
        <w:rPr/>
        <w:t>7.本合同所指“书面通知”包括但不限于短信、电子邮件等数据电文的通知形式，到达时间以民事诉讼法的规定为准，但进行书面通知前后，通知方均有义务电话确认通知事项。</w:t>
      </w:r>
      <w:r>
        <w:br/>
      </w:r>
      <w:r>
        <w:rPr/>
        <w:t>8.双方均已对以上各条款及附件作充分了解，并明确理解由此而产生的相关权责。</w:t>
      </w:r>
    </w:p>
    <w:p>
      <w:pPr>
        <w:ind w:firstLine="420"/>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8"/>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c>
          <w:tcPr>
            <w:tcW w:type="dxa" w:w="4013"/>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r>
      <w:tr>
        <w:tc>
          <w:tcPr>
            <w:tcW w:type="dxa" w:w="4293"/>
            <w:tcBorders>
              <w:top w:val="none" w:color="000000" w:sz="4"/>
              <w:left w:val="none" w:color="000000" w:sz="4"/>
              <w:bottom w:val="single" w:color="FFFFFF" w:sz="8"/>
              <w:right w:val="dashed" w:color="000000" w:sz="8"/>
            </w:tcBorders>
            <w:vAlign w:val="top"/>
          </w:tcPr>
          <w:p/>
        </w:tc>
        <w:tc>
          <w:tcPr>
            <w:tcW w:type="dxa" w:w="4013"/>
            <w:tcBorders>
              <w:top w:val="none" w:color="000000" w:sz="4"/>
              <w:left w:val="none" w:color="000000" w:sz="4"/>
              <w:bottom w:val="single" w:color="FFFFFF" w:sz="8"/>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sz w:val="19"/>
              </w:rPr>
              <w:t xml:space="preserve"> </w:t>
            </w:r>
            <w:r>
              <w:rPr>
                <w:color w:val="000000"/>
                <w:sz w:val="21"/>
              </w:rPr>
              <w:t>户</w:t>
            </w:r>
            <w:r>
              <w:rPr>
                <w:sz w:val="19"/>
              </w:rPr>
              <w:t xml:space="preserve"> </w:t>
            </w:r>
            <w:r>
              <w:rPr>
                <w:color w:val="000000"/>
                <w:sz w:val="21"/>
              </w:rPr>
              <w:t>行：</w:t>
            </w:r>
          </w:p>
        </w:tc>
      </w:tr>
    </w:tbl>
    <w:p>
      <w:r>
        <w:rPr>
          <w:b/>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r>
        <w:rPr>
          <w:b/>
          <w:color w:val="000000"/>
          <w:sz w:val="21"/>
        </w:rPr>
        <w:t>合同附件清单：</w:t>
      </w:r>
    </w:p>
    <w:p>
      <w:r>
        <w:rPr>
          <w:b/>
          <w:color w:val="000000"/>
          <w:sz w:val="21"/>
        </w:rPr>
        <w:t>附件《报价清单明细表》</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440604-2022-03678</w:t>
      </w:r>
    </w:p>
    <w:p>
      <w:pPr>
        <w:jc w:val="center"/>
      </w:pPr>
      <w:r>
        <w:rPr>
          <w:b/>
          <w:sz w:val="24"/>
        </w:rPr>
        <w:t>采购项目编号：</w:t>
      </w:r>
      <w:r>
        <w:rPr>
          <w:b/>
          <w:sz w:val="24"/>
        </w:rPr>
        <w:t>XY0122071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佛山地铁2号线禅城区段外围视频监控建设项目</w:t>
      </w:r>
      <w:r>
        <w:rPr/>
        <w:t>项目的竞争性磋商[采购项目编号为：</w:t>
      </w:r>
      <w:r>
        <w:rPr>
          <w:u w:val="single"/>
        </w:rPr>
        <w:t>XY0122071</w:t>
      </w:r>
      <w:r>
        <w:rPr/>
        <w:t>]，我方愿参与响应。</w:t>
      </w:r>
    </w:p>
    <w:p>
      <w:pPr>
        <w:ind w:firstLine="480"/>
      </w:pPr>
      <w:r>
        <w:rPr/>
        <w:t>我方确认收到贵方提供的</w:t>
      </w:r>
      <w:r>
        <w:rPr>
          <w:u w:val="single"/>
        </w:rPr>
        <w:t>佛山地铁2号线禅城区段外围视频监控建设项目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佛山地铁2号线禅城区段外围视频监控建设项目</w:t>
      </w:r>
      <w:r>
        <w:rPr/>
        <w:t>项目采购[采购项目编号为</w:t>
      </w:r>
      <w:r>
        <w:rPr/>
        <w:t>XY0122071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佛山市公安局禅城分局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佛山地铁2号线禅城区段外围视频监控建设项目</w:t>
      </w:r>
      <w:r>
        <w:rPr/>
        <w:t>（采购项目编号：</w:t>
      </w:r>
      <w:r>
        <w:rPr/>
        <w:t>XY0122071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佛山地铁2号线禅城区段外围视频监控建设项目</w:t>
      </w:r>
      <w:r>
        <w:rPr/>
        <w:t>项目（采购项目编号：</w:t>
      </w:r>
      <w:r>
        <w:rPr/>
        <w:t>XY0122071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