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440601-2023-00709</w:t>
      </w:r>
    </w:p>
    <w:p>
      <w:pPr>
        <w:jc w:val="center"/>
      </w:pPr>
      <w:r>
        <w:rPr>
          <w:b/>
          <w:sz w:val="24"/>
        </w:rPr>
        <w:t>采购项目编号：</w:t>
      </w:r>
      <w:r>
        <w:rPr>
          <w:b/>
          <w:sz w:val="24"/>
        </w:rPr>
        <w:t>XY0122066</w:t>
      </w:r>
    </w:p>
    <w:p>
      <w:pPr>
        <w:jc w:val="center"/>
      </w:pPr>
      <w:r>
        <w:rPr>
          <w:b/>
          <w:sz w:val="24"/>
        </w:rPr>
        <w:t>项目名称：</w:t>
      </w:r>
      <w:r>
        <w:rPr>
          <w:b/>
          <w:sz w:val="24"/>
        </w:rPr>
        <w:t>佛山市精神病治疗所2023年膳食服务采购项目</w:t>
      </w:r>
    </w:p>
    <w:p>
      <w:pPr>
        <w:jc w:val="center"/>
      </w:pPr>
      <w:r>
        <w:rPr>
          <w:b/>
          <w:sz w:val="24"/>
        </w:rPr>
        <w:t>采购人：</w:t>
      </w:r>
      <w:r>
        <w:rPr>
          <w:b/>
          <w:sz w:val="24"/>
        </w:rPr>
        <w:t>佛山市精神病治疗所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佛山市精神病治疗所</w:t>
      </w:r>
      <w:r>
        <w:rPr/>
        <w:t>的委托，采用</w:t>
      </w:r>
      <w:r>
        <w:rPr/>
        <w:t>竞争性磋商</w:t>
      </w:r>
      <w:r>
        <w:rPr/>
        <w:t>方式组织采购</w:t>
      </w:r>
      <w:r>
        <w:rPr/>
        <w:t>佛山市精神病治疗所2023年膳食服务采购项目</w:t>
      </w:r>
      <w:r>
        <w:rPr/>
        <w:t>。欢迎符合资格条件的供应商参加。</w:t>
      </w:r>
    </w:p>
    <w:p>
      <w:r>
        <w:rPr>
          <w:b/>
          <w:sz w:val="28"/>
        </w:rPr>
        <w:t>一.项目概述</w:t>
      </w:r>
    </w:p>
    <w:p>
      <w:r>
        <w:rPr>
          <w:b/>
          <w:sz w:val="24"/>
        </w:rPr>
        <w:t>1.名称与编号</w:t>
      </w:r>
    </w:p>
    <w:p>
      <w:pPr>
        <w:ind w:firstLine="480"/>
      </w:pPr>
      <w:r>
        <w:rPr/>
        <w:t>采购项目名称：</w:t>
      </w:r>
      <w:r>
        <w:rPr/>
        <w:t>佛山市精神病治疗所2023年膳食服务采购项目</w:t>
      </w:r>
    </w:p>
    <w:p>
      <w:pPr>
        <w:ind w:firstLine="480"/>
      </w:pPr>
      <w:r>
        <w:rPr/>
        <w:t>采购计划编号：</w:t>
      </w:r>
      <w:r>
        <w:rPr/>
        <w:t>440601-2023-00709</w:t>
      </w:r>
    </w:p>
    <w:p>
      <w:pPr>
        <w:ind w:firstLine="480"/>
      </w:pPr>
      <w:r>
        <w:rPr/>
        <w:t>采购项目编号：</w:t>
      </w:r>
      <w:r>
        <w:rPr/>
        <w:t>XY0122066</w:t>
      </w:r>
    </w:p>
    <w:p>
      <w:pPr>
        <w:ind w:firstLine="480"/>
      </w:pPr>
      <w:r>
        <w:rPr/>
        <w:t>采购方式：</w:t>
      </w:r>
      <w:r>
        <w:rPr/>
        <w:t>竞争性磋商</w:t>
      </w:r>
    </w:p>
    <w:p>
      <w:pPr>
        <w:ind w:firstLine="480"/>
      </w:pPr>
      <w:r>
        <w:rPr/>
        <w:t>预算金额：</w:t>
      </w:r>
      <w:r>
        <w:rPr/>
        <w:t>2,077,968.00</w:t>
      </w:r>
      <w:r>
        <w:rPr/>
        <w:t>元</w:t>
      </w:r>
    </w:p>
    <w:p>
      <w:r>
        <w:rPr>
          <w:b/>
          <w:sz w:val="24"/>
        </w:rPr>
        <w:t>2.项目内容及需求情况（采购项目技术规格、参数及要求）</w:t>
      </w:r>
    </w:p>
    <w:p>
      <w:pPr>
        <w:ind w:firstLine="480"/>
      </w:pPr>
    </w:p>
    <w:p/>
    <w:p>
      <w:r>
        <w:rPr/>
        <w:t>采购包1(佛山市精神病治疗所2023年膳食服务采购项目):</w:t>
      </w:r>
    </w:p>
    <w:p>
      <w:r>
        <w:rPr/>
        <w:t>采购包预算金额：2,077,968.00元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餐饮服务</w:t>
            </w:r>
          </w:p>
        </w:tc>
        <w:tc>
          <w:tcPr>
            <w:tcW w:type="dxa" w:w="2052"/>
          </w:tcPr>
          <w:p>
            <w:r>
              <w:rPr/>
              <w:t>食堂餐饮服务</w:t>
            </w:r>
          </w:p>
        </w:tc>
        <w:tc>
          <w:tcPr>
            <w:tcW w:type="dxa" w:w="977"/>
          </w:tcPr>
          <w:p>
            <w:r>
              <w:rPr/>
              <w:t>1.0000(项)</w:t>
            </w:r>
          </w:p>
        </w:tc>
        <w:tc>
          <w:tcPr>
            <w:tcW w:type="dxa" w:w="977"/>
          </w:tcPr>
          <w:p>
            <w:r>
              <w:rPr/>
              <w:t>详见第二章</w:t>
            </w:r>
          </w:p>
        </w:tc>
        <w:tc>
          <w:tcPr>
            <w:tcW w:type="dxa" w:w="977"/>
          </w:tcPr>
          <w:p>
            <w:r>
              <w:rPr/>
              <w:t>2,077,968.00</w:t>
            </w:r>
          </w:p>
        </w:tc>
        <w:tc>
          <w:tcPr>
            <w:tcW w:type="dxa" w:w="97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3）具有良好的商业信誉和健全的财务会计制度：提供2021年度或2022年度财务状况报告或响应文件递交截止日前6个月内（含截止日当月）任意1个月的的财务状况报告复印件，或基本开户行出具的资信证明复印件。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采购包1（佛山市精神病治疗所2023年膳食服务采购项目）：</w:t>
      </w:r>
      <w:r>
        <w:rPr/>
        <w:t>本项目为专门面向中小企业采购项目，供应商应为中小微企业或监狱企业或残疾人福利性单位，并提供对应的书面声明函，本项目采购标的对应的中小企业划分标准所属行业为：其他未列明行业。《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b/>
          <w:sz w:val="24"/>
        </w:rPr>
        <w:t>3.本项目特定的资格要求：</w:t>
      </w:r>
    </w:p>
    <w:p>
      <w:pPr>
        <w:ind w:firstLine="480"/>
      </w:pPr>
    </w:p>
    <w:p/>
    <w:p>
      <w:r>
        <w:rPr/>
        <w:t>采购包1（佛山市精神病治疗所2023年膳食服务采购项目）：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3)供应商须具有有效期内的《食品经营许可证》，如供应商的《食品经营许可证》证明与营业执照合并办理的，提供扫描营业执照二维码后的有效备案信息截图。</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佛山市精神病治疗所</w:t>
      </w:r>
    </w:p>
    <w:p>
      <w:pPr>
        <w:ind w:firstLine="480"/>
      </w:pPr>
      <w:r>
        <w:rPr/>
        <w:t>地址：</w:t>
      </w:r>
      <w:r>
        <w:rPr/>
        <w:t>佛山市禅城区圣安街9号</w:t>
      </w:r>
    </w:p>
    <w:p>
      <w:pPr>
        <w:ind w:firstLine="480"/>
      </w:pPr>
      <w:r>
        <w:rPr/>
        <w:t>联系方式：</w:t>
      </w:r>
      <w:r>
        <w:rPr/>
        <w:t>0757-82721744</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佛山市精神病治疗所位于禅城区圣安街</w:t>
      </w:r>
      <w:r>
        <w:rPr>
          <w:sz w:val="21"/>
        </w:rPr>
        <w:t>9</w:t>
      </w:r>
      <w:r>
        <w:rPr>
          <w:sz w:val="21"/>
        </w:rPr>
        <w:t>号，全所占地面积</w:t>
      </w:r>
      <w:r>
        <w:rPr>
          <w:sz w:val="21"/>
        </w:rPr>
        <w:t>3116</w:t>
      </w:r>
      <w:r>
        <w:rPr>
          <w:sz w:val="21"/>
        </w:rPr>
        <w:t>平方米，建筑面积</w:t>
      </w:r>
      <w:r>
        <w:rPr>
          <w:sz w:val="21"/>
        </w:rPr>
        <w:t>16548.06</w:t>
      </w:r>
      <w:r>
        <w:rPr>
          <w:sz w:val="21"/>
        </w:rPr>
        <w:t>平方米，可容纳</w:t>
      </w:r>
      <w:r>
        <w:rPr>
          <w:sz w:val="21"/>
        </w:rPr>
        <w:t>550</w:t>
      </w:r>
      <w:r>
        <w:rPr>
          <w:sz w:val="21"/>
        </w:rPr>
        <w:t>个服务对象。为促进食堂管理工作做得更细、更好，确保员工、托养人员能享用安全、健康饮食，通过政府采购进行食堂承包服务。采购人拥有饭堂的所有权、使用权和管理权，成交供应商负责食堂的内部管理与提供餐饮服务。</w:t>
      </w:r>
    </w:p>
    <w:p/>
    <w:p>
      <w:pPr>
        <w:ind w:firstLine="480"/>
      </w:pPr>
    </w:p>
    <w:p/>
    <w:p>
      <w:r>
        <w:rPr/>
        <w:t>采购包1（佛山市精神病治疗所2023年膳食服务采购项目）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佛山市精神病治疗所</w:t>
            </w:r>
          </w:p>
        </w:tc>
      </w:tr>
      <w:tr>
        <w:tc>
          <w:tcPr>
            <w:tcW w:type="dxa" w:w="4153"/>
          </w:tcPr>
          <w:p>
            <w:r>
              <w:rPr/>
              <w:t>付款方式</w:t>
            </w:r>
          </w:p>
        </w:tc>
        <w:tc>
          <w:tcPr>
            <w:tcW w:type="dxa" w:w="4153"/>
          </w:tcPr>
          <w:p/>
          <w:p/>
          <w:p>
            <w:r>
              <w:rPr/>
              <w:t>1期：支付比例100%,由采购人按下列程序付款：  1.餐饮服务费用每月按实际用餐人数与成交折扣率进行结算； 2.每月10日前支付上月的用餐费用； 3.本项目最高总结算金额不超过2,077,968.00元；当实际结算金额达到人民币2,077,968.00元或服务期结束之日起，本项目停止服务，同时终止合同。 4.成交供应商凭以下有效文件与采购人结算： （1）合同； （2）成交供应商开具的正式发票； （3）成交通知书。 成交供应商收款时必须持有效发票与采购人结算。收款方、出具发票方、合同乙方均必须与成交供应商名称一致。</w:t>
            </w:r>
          </w:p>
        </w:tc>
      </w:tr>
      <w:tr>
        <w:tc>
          <w:tcPr>
            <w:tcW w:type="dxa" w:w="4153"/>
          </w:tcPr>
          <w:p>
            <w:r>
              <w:rPr/>
              <w:t>验收要求</w:t>
            </w:r>
          </w:p>
        </w:tc>
        <w:tc>
          <w:tcPr>
            <w:tcW w:type="dxa" w:w="4153"/>
          </w:tcPr>
          <w:p/>
          <w:p/>
          <w:p/>
          <w:p>
            <w:r>
              <w:rPr/>
              <w:t>1期：1.成交供应商须为验收提供必需的一切条件及相关费用。 2.项目验收依次序对照执行标准 1）符合中华人民共和国国家和履约地相关安全质量标准、行业技术规范标准、环保节能标准； 2）符合磋商文件和响应承诺中各方共同认可的各项要求； 3）符合货物来源国官方颁布标准； 4）上述各类标准与法规必须是有关官方机构最新发布的现行标准版本。 3.由采购人每月对成交供应商进行服务质量考核，具体见“服务质量考核要求”。</w:t>
            </w:r>
          </w:p>
        </w:tc>
      </w:tr>
      <w:tr>
        <w:tc>
          <w:tcPr>
            <w:tcW w:type="dxa" w:w="4153"/>
          </w:tcPr>
          <w:p>
            <w:r>
              <w:rPr/>
              <w:t>履约保证金</w:t>
            </w:r>
          </w:p>
        </w:tc>
        <w:tc>
          <w:tcPr>
            <w:tcW w:type="dxa" w:w="4153"/>
          </w:tcPr>
          <w:p/>
          <w:p/>
          <w:p/>
          <w:p/>
          <w:p>
            <w:r>
              <w:rPr/>
              <w:t>收取比例：2.40%,说明：因系统格式问题，本项目履约保证金收取以此为准：1.提交时间：自合同生效之日起3日内。2.金额：人民币50,000.00元整。3.方式：转账、支票、汇票、本票或者金融机构、担保机构出具的保函等非现金形式提交。4.履约保证金待合同期满后，采购人将无息退还履约保证金。5.违约补偿赔偿责任：逾期退还履约保证金的，采购人应按合同约定对中标人受到的损失予以补偿或赔偿。</w:t>
            </w:r>
          </w:p>
        </w:tc>
      </w:tr>
      <w:tr>
        <w:tc>
          <w:tcPr>
            <w:tcW w:type="dxa" w:w="4153"/>
          </w:tcPr>
          <w:p>
            <w:r>
              <w:rPr/>
              <w:t>其他</w:t>
            </w:r>
          </w:p>
        </w:tc>
        <w:tc>
          <w:tcPr>
            <w:tcW w:type="dxa" w:w="4153"/>
          </w:tcPr>
          <w:p/>
          <w:p/>
          <w:p>
            <w:r>
              <w:rPr/>
              <w:t>1，★磋商总报价中不得包含竞争性磋商文件要求以外的内容，否则，在评标时不予核减。若投标报价有缺漏项的，缺漏项部分的价格视为已包含在投标报价中，成交后不作任何调整。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本项目报价形式为折扣率报价，响应供应商对托养人员与采购人工作人员餐费最高单价进行总折扣率报价；本项目为固定单价包干，费用包含但不限于以下费用：经营食堂过程中所产生的一切费用，如：食材采购、运输、食堂其他消耗费、食堂人员费用、通讯费、员工体检费、管理费用、水费、电费、燃气费以及项目实施过程中其它应预见和不可预见费用等完成本采购项目、达到采购人目的的一切费用及企业利润。 2.托养人员与采购人工作人员餐费标准价（最高单价）：托养人员每人每天人民币25元，采购人工作人员每人每天人民币28元为本次采购报价范围。另：职工个人自费2元/餐，不作价格竞争，采购人工作人员个人自费部分未包含在上述提及的28元内，也未包含在本项目采购预算内，但成交供应商提供的膳食服务应包含该部分内容。</w:t>
            </w:r>
          </w:p>
        </w:tc>
      </w:tr>
      <w:tr>
        <w:tc>
          <w:tcPr>
            <w:tcW w:type="dxa" w:w="2076"/>
          </w:tcPr>
          <w:p>
            <w:pPr>
              <w:jc w:val="center"/>
            </w:pPr>
            <w:r>
              <w:rPr/>
              <w:t>★</w:t>
            </w:r>
          </w:p>
        </w:tc>
        <w:tc>
          <w:tcPr>
            <w:tcW w:type="dxa" w:w="2076"/>
          </w:tcPr>
          <w:p>
            <w:pPr>
              <w:jc w:val="center"/>
            </w:pPr>
            <w:r>
              <w:rPr/>
              <w:t>2</w:t>
            </w:r>
          </w:p>
        </w:tc>
        <w:tc>
          <w:tcPr>
            <w:tcW w:type="dxa" w:w="2076"/>
          </w:tcPr>
          <w:p>
            <w:pPr>
              <w:jc w:val="left"/>
            </w:pPr>
            <w:r>
              <w:rPr/>
              <w:t>结算金额</w:t>
            </w:r>
          </w:p>
        </w:tc>
        <w:tc>
          <w:tcPr>
            <w:tcW w:type="dxa" w:w="2076"/>
          </w:tcPr>
          <w:p>
            <w:pPr>
              <w:jc w:val="left"/>
            </w:pPr>
            <w:r>
              <w:rPr/>
              <w:t>托养人员（或采购人工作人员）结算金额=托养人员（或采购人工作人员可报价部分）餐费标准价×成交折扣率×实际用餐的托养人员（或采购人工作人员）人数。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食堂餐饮服务</w:t>
            </w:r>
          </w:p>
        </w:tc>
        <w:tc>
          <w:tcPr>
            <w:tcW w:type="dxa" w:w="831"/>
          </w:tcPr>
          <w:p>
            <w:pPr>
              <w:jc w:val="left"/>
            </w:pPr>
            <w:r>
              <w:rPr/>
              <w:t>项</w:t>
            </w:r>
          </w:p>
        </w:tc>
        <w:tc>
          <w:tcPr>
            <w:tcW w:type="dxa" w:w="831"/>
          </w:tcPr>
          <w:p>
            <w:pPr>
              <w:jc w:val="right"/>
            </w:pPr>
            <w:r>
              <w:rPr/>
              <w:t>1.00</w:t>
            </w:r>
          </w:p>
        </w:tc>
        <w:tc>
          <w:tcPr>
            <w:tcW w:type="dxa" w:w="831"/>
          </w:tcPr>
          <w:p>
            <w:pPr>
              <w:jc w:val="right"/>
            </w:pPr>
            <w:r>
              <w:rPr/>
              <w:t>2,077,968.00</w:t>
            </w:r>
          </w:p>
        </w:tc>
        <w:tc>
          <w:tcPr>
            <w:tcW w:type="dxa" w:w="831"/>
          </w:tcPr>
          <w:p>
            <w:pPr>
              <w:jc w:val="right"/>
            </w:pPr>
            <w:r>
              <w:rPr/>
              <w:t>2,077,968.00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食堂餐饮服务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采购人用餐人数、标准及用餐时间</w:t>
            </w:r>
          </w:p>
          <w:p>
            <w:pPr>
              <w:jc w:val="left"/>
            </w:pPr>
            <w:r>
              <w:rPr>
                <w:sz w:val="21"/>
              </w:rPr>
              <w:t>1.托养人员每天用餐人数约188人；餐费标准：每人每天人民币25元。</w:t>
            </w:r>
          </w:p>
          <w:p>
            <w:pPr>
              <w:jc w:val="left"/>
            </w:pPr>
            <w:r>
              <w:rPr>
                <w:sz w:val="21"/>
              </w:rPr>
              <w:t>2.采购人工作人员每天用餐人数约43人；餐费标准：每人每天人民币28元(另：</w:t>
            </w:r>
            <w:r>
              <w:rPr>
                <w:sz w:val="21"/>
              </w:rPr>
              <w:t>职工</w:t>
            </w:r>
            <w:r>
              <w:rPr>
                <w:sz w:val="21"/>
              </w:rPr>
              <w:t>个人自费</w:t>
            </w:r>
            <w:r>
              <w:rPr>
                <w:sz w:val="21"/>
              </w:rPr>
              <w:t>2元/餐)。</w:t>
            </w:r>
          </w:p>
          <w:p>
            <w:pPr>
              <w:jc w:val="left"/>
            </w:pPr>
            <w:r>
              <w:rPr>
                <w:sz w:val="21"/>
              </w:rPr>
              <w:t>3.托养人员餐标（在项目服务过程中，采购人可根据实际情况进行调整，但每人每天的总餐费标准不变）：早餐人民币5元/餐/人，</w:t>
            </w:r>
            <w:r>
              <w:rPr>
                <w:sz w:val="21"/>
              </w:rPr>
              <w:t>除正常供应主食外，早餐每人提供不少于一个鸡蛋</w:t>
            </w:r>
            <w:r>
              <w:rPr>
                <w:sz w:val="21"/>
              </w:rPr>
              <w:t>；中、晚餐人民币各</w:t>
            </w:r>
            <w:r>
              <w:rPr>
                <w:sz w:val="21"/>
              </w:rPr>
              <w:t>10元/餐/人，提供1主荤1副荤1素菜，1份例汤，米饭吃饱。每人每日采购生肉量不少于250克。</w:t>
            </w:r>
          </w:p>
          <w:p>
            <w:pPr>
              <w:jc w:val="left"/>
            </w:pPr>
            <w:r>
              <w:rPr>
                <w:sz w:val="21"/>
              </w:rPr>
              <w:t>4.采购人工作人员</w:t>
            </w:r>
            <w:r>
              <w:rPr>
                <w:sz w:val="21"/>
              </w:rPr>
              <w:t>餐标（在项目服务过程中，采购人可根据实际情况进行调整，但每人每天的总餐费标准不变）</w:t>
            </w:r>
            <w:r>
              <w:rPr>
                <w:sz w:val="21"/>
              </w:rPr>
              <w:t>：</w:t>
            </w:r>
            <w:r>
              <w:rPr>
                <w:sz w:val="21"/>
              </w:rPr>
              <w:t>早餐人民币</w:t>
            </w:r>
            <w:r>
              <w:rPr>
                <w:sz w:val="21"/>
              </w:rPr>
              <w:t>8元/餐/人，中餐人民币16元/餐/人、晚餐人民币10元/餐/人；</w:t>
            </w:r>
            <w:r>
              <w:rPr>
                <w:sz w:val="21"/>
              </w:rPr>
              <w:t>早餐提供多样化选择﹔中、晚餐提供</w:t>
            </w:r>
            <w:r>
              <w:rPr>
                <w:sz w:val="21"/>
              </w:rPr>
              <w:t>1主荤2副荤1素菜，1份例汤，米饭吃饱，中餐提供相应的水果或者纯牛奶。</w:t>
            </w:r>
          </w:p>
          <w:p>
            <w:pPr>
              <w:jc w:val="left"/>
            </w:pPr>
            <w:r>
              <w:rPr>
                <w:sz w:val="21"/>
              </w:rPr>
              <w:t>5.早餐供应：炒米粉、炒河粉、炒面、汤河粉、汤米粉、汤面、白粥、绿豆粥、小米粥、豆浆、牛奶、包子、馒头、油条、面包、糕点、红薯、玉米、各式点心、鸡蛋等。中、晚餐每餐提供不得少于5个菜谱（菜式）品种，每人每日肉类总量不少于200克。</w:t>
            </w:r>
          </w:p>
          <w:p>
            <w:pPr>
              <w:jc w:val="left"/>
            </w:pPr>
            <w:r>
              <w:rPr>
                <w:sz w:val="21"/>
              </w:rPr>
              <w:t>6.用餐人员数量为暂估数量，每天用餐人数以实际发生为准。</w:t>
            </w:r>
          </w:p>
          <w:p>
            <w:pPr>
              <w:jc w:val="left"/>
            </w:pPr>
            <w:r>
              <w:rPr>
                <w:sz w:val="21"/>
              </w:rPr>
              <w:t>7.用餐时间</w:t>
            </w:r>
          </w:p>
          <w:p>
            <w:pPr>
              <w:jc w:val="left"/>
            </w:pPr>
            <w:r>
              <w:rPr>
                <w:sz w:val="21"/>
              </w:rPr>
              <w:t>(1)托养人员用餐时间：早餐：07：00-07：30，午餐：10：30-11：00，晚餐：16：30-17：00。</w:t>
            </w:r>
          </w:p>
          <w:p>
            <w:pPr>
              <w:jc w:val="left"/>
            </w:pPr>
            <w:r>
              <w:rPr>
                <w:sz w:val="21"/>
              </w:rPr>
              <w:t>(2)</w:t>
            </w:r>
            <w:r>
              <w:rPr>
                <w:sz w:val="21"/>
              </w:rPr>
              <w:t>采购人工作人员用餐时间：早餐：07：00-08：00，午餐：11：15-12：30，晚餐：17：15-18：00。</w:t>
            </w:r>
          </w:p>
        </w:tc>
      </w:tr>
      <w:tr>
        <w:tc>
          <w:tcPr>
            <w:tcW w:type="dxa" w:w="2076"/>
          </w:tcPr>
          <w:p/>
        </w:tc>
        <w:tc>
          <w:tcPr>
            <w:tcW w:type="dxa" w:w="415"/>
          </w:tcPr>
          <w:p>
            <w:r>
              <w:rPr/>
              <w:t>2</w:t>
            </w:r>
          </w:p>
        </w:tc>
        <w:tc>
          <w:tcPr>
            <w:tcW w:type="dxa" w:w="5814"/>
          </w:tcPr>
          <w:p>
            <w:pPr>
              <w:jc w:val="left"/>
            </w:pPr>
            <w:r>
              <w:rPr>
                <w:b/>
                <w:sz w:val="21"/>
              </w:rPr>
              <w:t>供应商提供服务内容</w:t>
            </w:r>
          </w:p>
          <w:p>
            <w:pPr>
              <w:jc w:val="left"/>
            </w:pPr>
            <w:r>
              <w:rPr>
                <w:sz w:val="21"/>
              </w:rPr>
              <w:t>1.负责食材、佐料的采购，所有食材需符合《中华人民共和国食品安全法》要求，符合国家有关标准并按要求进行公示，保证食材的安全卫生，对饭堂食材安全负有全部责任。</w:t>
            </w:r>
          </w:p>
          <w:p>
            <w:pPr>
              <w:jc w:val="left"/>
            </w:pPr>
            <w:r>
              <w:rPr>
                <w:sz w:val="21"/>
              </w:rPr>
              <w:t>2.负责食品制作、餐饮服务、饭堂清洁及管理工作。</w:t>
            </w:r>
          </w:p>
          <w:p>
            <w:pPr>
              <w:jc w:val="left"/>
            </w:pPr>
            <w:r>
              <w:rPr>
                <w:sz w:val="21"/>
              </w:rPr>
              <w:t>3.负责厨房食品制作任务和餐厅工作协调，确保员工关系和谐。</w:t>
            </w:r>
          </w:p>
          <w:p>
            <w:pPr>
              <w:jc w:val="left"/>
            </w:pPr>
            <w:r>
              <w:rPr>
                <w:sz w:val="21"/>
              </w:rPr>
              <w:t>4.负责菜谱的筹划和更换，以及新品种的研发，每季度做食谱调查并改进。</w:t>
            </w:r>
          </w:p>
          <w:p>
            <w:pPr>
              <w:jc w:val="left"/>
            </w:pPr>
            <w:r>
              <w:rPr>
                <w:sz w:val="21"/>
              </w:rPr>
              <w:t>5.负责提供一周菜谱给采购人审批确认，采购人确认后成交供应商在实施过程中不得修改菜谱中菜品，如个别品种因市场上缺货，成交供应商应第一时间向采购人汇报。</w:t>
            </w:r>
          </w:p>
          <w:p>
            <w:pPr>
              <w:jc w:val="left"/>
            </w:pPr>
            <w:r>
              <w:rPr>
                <w:sz w:val="21"/>
              </w:rPr>
              <w:t>6.按照要求控制好营业成本并保证菜肴质量、服务水平。</w:t>
            </w:r>
          </w:p>
          <w:p>
            <w:pPr>
              <w:jc w:val="left"/>
            </w:pPr>
            <w:r>
              <w:rPr>
                <w:sz w:val="21"/>
              </w:rPr>
              <w:t>7.定期征求采购方对菜品质量的意见，并按照要求及时改善。</w:t>
            </w:r>
          </w:p>
          <w:p>
            <w:r>
              <w:rPr>
                <w:sz w:val="21"/>
              </w:rPr>
              <w:t>8.负责食品卫生安全、消防安全、生产安全工作。</w:t>
            </w:r>
          </w:p>
        </w:tc>
      </w:tr>
      <w:tr>
        <w:tc>
          <w:tcPr>
            <w:tcW w:type="dxa" w:w="2076"/>
          </w:tcPr>
          <w:p/>
        </w:tc>
        <w:tc>
          <w:tcPr>
            <w:tcW w:type="dxa" w:w="415"/>
          </w:tcPr>
          <w:p>
            <w:r>
              <w:rPr/>
              <w:t>3</w:t>
            </w:r>
          </w:p>
        </w:tc>
        <w:tc>
          <w:tcPr>
            <w:tcW w:type="dxa" w:w="5814"/>
          </w:tcPr>
          <w:p>
            <w:pPr>
              <w:jc w:val="left"/>
            </w:pPr>
            <w:r>
              <w:rPr>
                <w:b/>
                <w:sz w:val="21"/>
              </w:rPr>
              <w:t>项目服务要求</w:t>
            </w:r>
          </w:p>
          <w:p>
            <w:pPr>
              <w:jc w:val="left"/>
            </w:pPr>
            <w:r>
              <w:rPr>
                <w:sz w:val="21"/>
              </w:rPr>
              <w:t>1.采购人提供厨房场地、设施、设备、厨具、餐具；成交供应商负责对厨房场地、设施、设备、厨具、餐具等保管、维护、维修和保养，所产生的一切费用由成交供应商负责。</w:t>
            </w:r>
          </w:p>
          <w:p>
            <w:pPr>
              <w:jc w:val="left"/>
            </w:pPr>
            <w:r>
              <w:rPr>
                <w:sz w:val="21"/>
              </w:rPr>
              <w:t>2.采购人为成交供应商提供水、电和燃气的基础设备，成交供应商负责在经营期间内所使用水、电和燃气产生的一切费用。</w:t>
            </w:r>
          </w:p>
          <w:p>
            <w:pPr>
              <w:jc w:val="left"/>
            </w:pPr>
            <w:r>
              <w:rPr>
                <w:sz w:val="21"/>
              </w:rPr>
              <w:t>3.托养人员用餐不得带有任何易卡喉的硬块或带有骨质食物，如鱼、鸡、猪骨等。</w:t>
            </w:r>
          </w:p>
          <w:p>
            <w:pPr>
              <w:jc w:val="left"/>
            </w:pPr>
            <w:r>
              <w:rPr>
                <w:sz w:val="21"/>
              </w:rPr>
              <w:t>4.成交供应商按要求在政府规定有资质的供应点采购米、肉、蔬菜、食油和其他副食品，并索取所有采购食品的卫生合格证明、动物检疫证、植物农药检测，建立采购台账。</w:t>
            </w:r>
          </w:p>
          <w:p>
            <w:pPr>
              <w:jc w:val="left"/>
            </w:pPr>
            <w:r>
              <w:rPr>
                <w:sz w:val="21"/>
              </w:rPr>
              <w:t>5.按照采购人规定时间准时开餐，开餐时间由采购人规定，如有变动应事先通知成交供应商；开饭时，成交供应商必须把做好的饭菜送到配餐室，并负责为用餐人员配餐(分饭、菜、汤）工作。</w:t>
            </w:r>
          </w:p>
          <w:p>
            <w:pPr>
              <w:jc w:val="left"/>
            </w:pPr>
            <w:r>
              <w:rPr>
                <w:sz w:val="21"/>
              </w:rPr>
              <w:t>6.夏天(6-11月份)每周免费提供水果、糖水各1次。</w:t>
            </w:r>
          </w:p>
          <w:p>
            <w:pPr>
              <w:jc w:val="left"/>
            </w:pPr>
            <w:r>
              <w:rPr>
                <w:sz w:val="21"/>
              </w:rPr>
              <w:t>7.全年全天候负责为采购人供应正常用餐；并且无条件的配合采购人提供“副餐”。按照节日习俗提供相应食品，如元宵节供应汤圆或者饺子、端午节供应粽子、中秋节供应月饼或相应的制作材料等。每逢过节都要有节日加菜，如春节加菜四次，其他节日至少加菜一次；春节、中秋各组织加餐一次，参加人数为：托养人员约80人；工作人员按实际参加人数统计。</w:t>
            </w:r>
          </w:p>
          <w:p>
            <w:pPr>
              <w:jc w:val="left"/>
            </w:pPr>
            <w:r>
              <w:rPr>
                <w:sz w:val="21"/>
              </w:rPr>
              <w:t>8.成交供应商须在每周五前将下周的菜谱交由采购人确认，采购人确认后方可实施。</w:t>
            </w:r>
          </w:p>
          <w:p>
            <w:pPr>
              <w:jc w:val="left"/>
            </w:pPr>
            <w:r>
              <w:rPr>
                <w:sz w:val="21"/>
              </w:rPr>
              <w:t>9.成交供应商负责对食堂室内、外周围环境定期或不定期的搞好清洁卫生以及“除四害”工作。</w:t>
            </w:r>
          </w:p>
          <w:p>
            <w:pPr>
              <w:jc w:val="left"/>
            </w:pPr>
            <w:r>
              <w:rPr>
                <w:sz w:val="21"/>
              </w:rPr>
              <w:t>10.成交供应商使用的任何清洁剂、消毒剂、杀虫剂、去污剂等用品都必须符合国家有关规定要求，并提交采购人备案。</w:t>
            </w:r>
          </w:p>
          <w:p>
            <w:pPr>
              <w:jc w:val="left"/>
            </w:pPr>
            <w:r>
              <w:rPr>
                <w:sz w:val="21"/>
              </w:rPr>
              <w:t>11.成交供应商负责对本项目工作场所的天花板、墙面、地面、食堂、餐厅内的照明灯、配电箱、电源开关、窗户、桌椅、风扇、空调、电视等设备进行日常清洁、维护工作，物品摆放整齐清洁，随时接受采购人进行消防安全、食品卫生检查；必须严格水、电、煤气的节约</w:t>
            </w:r>
            <w:r>
              <w:rPr>
                <w:sz w:val="21"/>
              </w:rPr>
              <w:t>使用</w:t>
            </w:r>
            <w:r>
              <w:rPr>
                <w:sz w:val="21"/>
              </w:rPr>
              <w:t>。</w:t>
            </w:r>
          </w:p>
          <w:p>
            <w:pPr>
              <w:jc w:val="left"/>
            </w:pPr>
            <w:r>
              <w:rPr>
                <w:sz w:val="21"/>
              </w:rPr>
              <w:t>12.成交供应商认真负责对采购人的厨房设备、设施、厨具和餐具应合理使用、妥善保管，不得人为损坏和丢失，否则按价赔偿。</w:t>
            </w:r>
          </w:p>
          <w:p>
            <w:pPr>
              <w:jc w:val="left"/>
            </w:pPr>
            <w:r>
              <w:rPr>
                <w:sz w:val="21"/>
              </w:rPr>
              <w:t>13.成交供应商不准擅自更改采购人饭堂内部结构；对采购人原有设施、设备、用具、餐具需要更新或者补充时必须向采购人提出申请，经同意后，由采购人购置。</w:t>
            </w:r>
          </w:p>
          <w:p>
            <w:pPr>
              <w:jc w:val="left"/>
            </w:pPr>
            <w:r>
              <w:rPr>
                <w:sz w:val="21"/>
              </w:rPr>
              <w:t>14.做好食品检验工作，保证菜食质量与份量。</w:t>
            </w:r>
          </w:p>
          <w:p>
            <w:pPr>
              <w:jc w:val="left"/>
            </w:pPr>
            <w:r>
              <w:rPr>
                <w:sz w:val="21"/>
              </w:rPr>
              <w:t>15.成交供应商应认真听取采购人的意见和建议，即时消化改善。</w:t>
            </w:r>
          </w:p>
          <w:p>
            <w:pPr>
              <w:jc w:val="left"/>
            </w:pPr>
            <w:r>
              <w:rPr>
                <w:sz w:val="21"/>
              </w:rPr>
              <w:t>l6.成交供应商在饭堂设置投诉意见簿，供采购人就餐人员提意见记录，成交供应商收到投诉意见后，应在一个工作日内作书面回复，及时整改。</w:t>
            </w:r>
          </w:p>
          <w:p>
            <w:pPr>
              <w:jc w:val="left"/>
            </w:pPr>
            <w:r>
              <w:rPr>
                <w:sz w:val="21"/>
              </w:rPr>
              <w:t>17.成交供应商必须负责本部门的安全生产、消防安全、用电、用火以及煤气安全，做好防台风、防火、防雷电、防盗等安全工作。</w:t>
            </w:r>
          </w:p>
          <w:p>
            <w:pPr>
              <w:jc w:val="left"/>
            </w:pPr>
            <w:r>
              <w:rPr>
                <w:sz w:val="21"/>
              </w:rPr>
              <w:t>18.成交供应商必须严格执行采购人发出的消防安全、生产安全、食品卫生安全、环境卫生等的通知、通告。</w:t>
            </w:r>
          </w:p>
          <w:p>
            <w:pPr>
              <w:jc w:val="left"/>
            </w:pPr>
            <w:r>
              <w:rPr>
                <w:sz w:val="21"/>
              </w:rPr>
              <w:t>19.成交供应商负责处理食堂所产生的剩饭剩菜及垃圾，每日当餐清理，不可隔夜堆积存放，影响环境卫生，收入归成交供应商所有。</w:t>
            </w:r>
          </w:p>
          <w:p>
            <w:pPr>
              <w:jc w:val="left"/>
            </w:pPr>
            <w:r>
              <w:rPr>
                <w:sz w:val="21"/>
              </w:rPr>
              <w:t>20.成交供应商不准擅自将采购人饭堂转包、分包或变相转让他人承包。</w:t>
            </w:r>
          </w:p>
          <w:p>
            <w:pPr>
              <w:jc w:val="left"/>
            </w:pPr>
            <w:r>
              <w:rPr>
                <w:sz w:val="21"/>
              </w:rPr>
              <w:t>21.成交供应商负责为采购人办理食堂的卫生许可等年检工作。</w:t>
            </w:r>
          </w:p>
          <w:p>
            <w:pPr>
              <w:jc w:val="left"/>
            </w:pPr>
            <w:r>
              <w:rPr>
                <w:sz w:val="21"/>
              </w:rPr>
              <w:t>22.成交供应商要充分评估物价水平，签订采购合同后不得以物价浮动为由降低合同约定的伙食质量。</w:t>
            </w:r>
          </w:p>
          <w:p>
            <w:r>
              <w:rPr>
                <w:sz w:val="21"/>
              </w:rPr>
              <w:t>23.成交供应商须按照政府有关规定协助采购人采购扶贫农副产品。</w:t>
            </w:r>
          </w:p>
        </w:tc>
      </w:tr>
      <w:tr>
        <w:tc>
          <w:tcPr>
            <w:tcW w:type="dxa" w:w="2076"/>
          </w:tcPr>
          <w:p/>
        </w:tc>
        <w:tc>
          <w:tcPr>
            <w:tcW w:type="dxa" w:w="415"/>
          </w:tcPr>
          <w:p>
            <w:r>
              <w:rPr/>
              <w:t>4</w:t>
            </w:r>
          </w:p>
        </w:tc>
        <w:tc>
          <w:tcPr>
            <w:tcW w:type="dxa" w:w="5814"/>
          </w:tcPr>
          <w:p>
            <w:pPr>
              <w:jc w:val="left"/>
            </w:pPr>
            <w:r>
              <w:rPr>
                <w:b/>
                <w:sz w:val="21"/>
              </w:rPr>
              <w:t>人员要求</w:t>
            </w:r>
          </w:p>
          <w:p>
            <w:pPr>
              <w:jc w:val="left"/>
            </w:pPr>
            <w:r>
              <w:rPr>
                <w:sz w:val="21"/>
              </w:rPr>
              <w:t>1.食堂工作人员由成交供应商管理，其招聘、考勤、日常管理、薪酬、购买保险金、奖金福利等均由成交供应商负责；如成交供应商员工发生意外事故、工伤、职业病等情形，相应的法律责任和经济责任均由成交供应商自行承担。</w:t>
            </w:r>
          </w:p>
          <w:p>
            <w:pPr>
              <w:jc w:val="left"/>
            </w:pPr>
            <w:r>
              <w:rPr>
                <w:sz w:val="21"/>
              </w:rPr>
              <w:t>2.成交供应商应配置8名或以上工作人员；派驻采购人所有工作人员必须提供健康证、身份证、上岗证或者工作证复印件交由采购人方备案并审核，待采购人确认后才能上岗；</w:t>
            </w:r>
          </w:p>
          <w:p>
            <w:pPr>
              <w:jc w:val="left"/>
            </w:pPr>
            <w:r>
              <w:rPr>
                <w:sz w:val="21"/>
              </w:rPr>
              <w:t>3.成交供应商派驻的工作人员中须配备有两名中级或以上的厨师和一名营养师。采购人认为相应人员不符合要求，成交供应商应及时更换。</w:t>
            </w:r>
          </w:p>
          <w:p>
            <w:pPr>
              <w:jc w:val="left"/>
            </w:pPr>
            <w:r>
              <w:rPr>
                <w:sz w:val="21"/>
              </w:rPr>
              <w:t>4.成交供应商员工上班时间必须穿统一工作服、戴帽子、口罩、手套等。</w:t>
            </w:r>
          </w:p>
          <w:p>
            <w:pPr>
              <w:jc w:val="left"/>
            </w:pPr>
            <w:r>
              <w:rPr>
                <w:sz w:val="21"/>
              </w:rPr>
              <w:t>5.成交供应商派驻的员工必须严格遵守采购人的各项规章制度和有关规定，若其因违规违纪给采购人造成损失，则由成交供应商负责，并且，采购人有权要求成交供应商将其调离采购人单位。成交供应商应负责派驻人员的社保、薪资等，</w:t>
            </w:r>
            <w:r>
              <w:rPr>
                <w:sz w:val="21"/>
              </w:rPr>
              <w:t>派驻人员与采购人不存在劳动关系，所发生的安全问题、劳动纠纷等均由成交供应商负责。</w:t>
            </w:r>
          </w:p>
        </w:tc>
      </w:tr>
      <w:tr>
        <w:tc>
          <w:tcPr>
            <w:tcW w:type="dxa" w:w="2076"/>
          </w:tcPr>
          <w:p/>
        </w:tc>
        <w:tc>
          <w:tcPr>
            <w:tcW w:type="dxa" w:w="415"/>
          </w:tcPr>
          <w:p>
            <w:r>
              <w:rPr/>
              <w:t>5</w:t>
            </w:r>
          </w:p>
        </w:tc>
        <w:tc>
          <w:tcPr>
            <w:tcW w:type="dxa" w:w="5814"/>
          </w:tcPr>
          <w:p>
            <w:pPr>
              <w:jc w:val="left"/>
            </w:pPr>
            <w:r>
              <w:rPr>
                <w:b/>
                <w:sz w:val="21"/>
              </w:rPr>
              <w:t>食材质量要求</w:t>
            </w:r>
          </w:p>
          <w:p>
            <w:pPr>
              <w:jc w:val="left"/>
            </w:pPr>
            <w:r>
              <w:rPr>
                <w:sz w:val="21"/>
              </w:rPr>
              <w:t>1.鲜肉（边猪)：所供货物应保持较好的外观和质量等级，符合国家食品部门的有关标准，保证无异味、无霉烂变质，肉类保证来源于正规肉联厂，供货时须提交肉联厂的验收单及当批次有效的动物检疫合格证复印件，鲜肉确保每日新鲜、无异味。</w:t>
            </w:r>
          </w:p>
          <w:p>
            <w:pPr>
              <w:jc w:val="left"/>
            </w:pPr>
            <w:r>
              <w:rPr>
                <w:sz w:val="21"/>
              </w:rPr>
              <w:t>2.辅料、佐料类须为正规厂家的产品，瓜、果、蔬菜须是优质货品，不得含有残留农药或污染物，成交供应商须保证所供应的蔬菜符合卫生质量标准，同时承担因所供蔬菜问题引起的一切事故后果。卫生质量指标，应符合我国无公害蔬菜上的卫生指标规定。</w:t>
            </w:r>
          </w:p>
          <w:p>
            <w:pPr>
              <w:jc w:val="left"/>
            </w:pPr>
            <w:r>
              <w:rPr>
                <w:sz w:val="21"/>
              </w:rPr>
              <w:t>3.大米、油、面粉、豆类货物须符合卫生，不得有腐烂、变质、油脂酸败、霉变、生虫、污秽不洁、混有异物或者其他感官性状异常，并可能对人体健康有害的物质。</w:t>
            </w:r>
          </w:p>
          <w:p>
            <w:pPr>
              <w:jc w:val="left"/>
            </w:pPr>
            <w:r>
              <w:rPr>
                <w:sz w:val="21"/>
              </w:rPr>
              <w:t>4.其他肉类及动物内脏：所供产品应保持较好的外观和质量等级，符合国家食品部门的有关标准，保证无异味、无霉烂变质，肉类保证来源于正规肉联厂，供货时须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jc w:val="left"/>
            </w:pPr>
            <w:r>
              <w:rPr>
                <w:sz w:val="21"/>
              </w:rPr>
              <w:t>5.鲜活塘鱼类：鱼体健康，体态匀称，游动活泼，体色鲜明，体表光滑，眼睛亮丽，鳞片鳍条完好，供货时须提供政府职能部门或政府职能部门授权的检测中心提供的检测证明。冷冻食品和深加工食品一周不能超过2个菜式。</w:t>
            </w:r>
          </w:p>
          <w:p>
            <w:pPr>
              <w:jc w:val="left"/>
            </w:pPr>
            <w:r>
              <w:rPr>
                <w:sz w:val="21"/>
              </w:rPr>
              <w:t>6.干货及腊味：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w:t>
            </w:r>
          </w:p>
          <w:p>
            <w:pPr>
              <w:jc w:val="left"/>
            </w:pPr>
            <w:r>
              <w:rPr>
                <w:sz w:val="21"/>
              </w:rPr>
              <w:t>7.调味品、配料类：货物应当具备其应当具备的使用性能，应当符合国家或行业标准。食品包装标签应符合《食品安全国家标准预包装食品标签通则》(GB 7718）要求，包括食品名称、配料表、净含量、规格、生产者(（或）经销者的名称、地址和联系方式、生产日期和保质期、贮存条件、食品生产许可证编号、产品标准代号等内容。</w:t>
            </w:r>
          </w:p>
          <w:p>
            <w:pPr>
              <w:jc w:val="left"/>
            </w:pPr>
            <w:r>
              <w:rPr>
                <w:b/>
                <w:sz w:val="21"/>
              </w:rPr>
              <w:t>8.★食品供应链要求：所有食品的来源须清晰。蔬菜来源应当于受到地方政府部门监管的自有基地、商品菜基地或蔬菜专业流通市场，供货时须提供政府职能部门或政府职能部门授权的检测中心提供的检测证明。成交供应商须提供的其食品供应链企业的相关资料交由采购人备案及审核，待采购人审核通过才能进行供货。</w:t>
            </w:r>
          </w:p>
          <w:p>
            <w:pPr>
              <w:jc w:val="left"/>
            </w:pPr>
            <w:r>
              <w:rPr>
                <w:sz w:val="21"/>
              </w:rPr>
              <w:t>9.成交供应商须负责对食材进行质量检测，严把食材质量关，成交供应商供应的食材需经采购人按食材质量要求验收后确认才能使用，一经发现成交供应商存在使用不符合质量标准的食材的情况，采购人有权视情节严重程度追究其责任。</w:t>
            </w:r>
          </w:p>
          <w:p>
            <w:r>
              <w:rPr>
                <w:sz w:val="21"/>
              </w:rPr>
              <w:t>10.成交供应商要按照采购人要求使用食用纯正一级花生油和一级大米，必要时由采购人定期指定调整交替使用食用花生油和大米的品牌，确保食用花生油和大米的品质。</w:t>
            </w:r>
          </w:p>
        </w:tc>
      </w:tr>
      <w:tr>
        <w:tc>
          <w:tcPr>
            <w:tcW w:type="dxa" w:w="2076"/>
          </w:tcPr>
          <w:p/>
        </w:tc>
        <w:tc>
          <w:tcPr>
            <w:tcW w:type="dxa" w:w="415"/>
          </w:tcPr>
          <w:p>
            <w:r>
              <w:rPr/>
              <w:t>6</w:t>
            </w:r>
          </w:p>
        </w:tc>
        <w:tc>
          <w:tcPr>
            <w:tcW w:type="dxa" w:w="5814"/>
          </w:tcPr>
          <w:p>
            <w:pPr>
              <w:jc w:val="left"/>
            </w:pPr>
            <w:r>
              <w:rPr>
                <w:b/>
                <w:sz w:val="21"/>
              </w:rPr>
              <w:t>卫生要求</w:t>
            </w:r>
          </w:p>
          <w:p>
            <w:pPr>
              <w:jc w:val="left"/>
            </w:pPr>
            <w:r>
              <w:rPr>
                <w:sz w:val="21"/>
              </w:rPr>
              <w:t>1.成交供应商须制定严格的餐饮卫生管理制度和食品安全突发事故应急预案，严格执行国家《食品安全法》及《餐饮服务食品安全操作规范》，规范服务，卫生防疫、就餐环境须达到省级职能部门制定的标准。</w:t>
            </w:r>
          </w:p>
          <w:p>
            <w:pPr>
              <w:jc w:val="left"/>
            </w:pPr>
            <w:r>
              <w:rPr>
                <w:sz w:val="21"/>
              </w:rPr>
              <w:t>2.就餐环境要求良好，应保证食堂通风、干净卫生、地面无积水，有剩饭剩菜等垃圾处理设施，室内温度超过26℃应开电风扇或空调等。</w:t>
            </w:r>
          </w:p>
          <w:p>
            <w:pPr>
              <w:jc w:val="left"/>
            </w:pPr>
            <w:r>
              <w:rPr>
                <w:sz w:val="21"/>
              </w:rPr>
              <w:t>3.成交供应商按照国家有关餐具卫生管理要求，做好公共餐具清洗和消毒工作。</w:t>
            </w:r>
          </w:p>
          <w:p>
            <w:pPr>
              <w:jc w:val="left"/>
            </w:pPr>
            <w:r>
              <w:rPr>
                <w:sz w:val="21"/>
              </w:rPr>
              <w:t>4.成交供应商负责打扫食堂区域的卫生，并实行门前三包，所需清洁卫生易耗品、清洁消毒剂等均由成交供应商负责购置。</w:t>
            </w:r>
          </w:p>
          <w:p>
            <w:r>
              <w:rPr>
                <w:sz w:val="21"/>
              </w:rPr>
              <w:t>5.食堂的潲水、食材废料、纸皮等由成交供应商负责及时处理，以保障厨房、食堂整体环境卫生。餐厨垃圾的处理应符合佛山市的有关规定。</w:t>
            </w:r>
          </w:p>
        </w:tc>
      </w:tr>
      <w:tr>
        <w:tc>
          <w:tcPr>
            <w:tcW w:type="dxa" w:w="2076"/>
          </w:tcPr>
          <w:p/>
        </w:tc>
        <w:tc>
          <w:tcPr>
            <w:tcW w:type="dxa" w:w="415"/>
          </w:tcPr>
          <w:p>
            <w:r>
              <w:rPr/>
              <w:t>7</w:t>
            </w:r>
          </w:p>
        </w:tc>
        <w:tc>
          <w:tcPr>
            <w:tcW w:type="dxa" w:w="5814"/>
          </w:tcPr>
          <w:p>
            <w:pPr>
              <w:jc w:val="left"/>
            </w:pPr>
            <w:r>
              <w:rPr>
                <w:b/>
                <w:sz w:val="21"/>
              </w:rPr>
              <w:t>安全要求</w:t>
            </w:r>
          </w:p>
          <w:p>
            <w:pPr>
              <w:jc w:val="left"/>
            </w:pPr>
            <w:r>
              <w:rPr>
                <w:sz w:val="21"/>
              </w:rPr>
              <w:t>1.成交供应商需购买</w:t>
            </w:r>
            <w:r>
              <w:rPr>
                <w:sz w:val="21"/>
              </w:rPr>
              <w:t>处于有效期内的</w:t>
            </w:r>
            <w:r>
              <w:rPr>
                <w:sz w:val="21"/>
              </w:rPr>
              <w:t>食品安全责任险和公众责任险。</w:t>
            </w:r>
          </w:p>
          <w:p>
            <w:pPr>
              <w:jc w:val="left"/>
            </w:pPr>
            <w:r>
              <w:rPr>
                <w:sz w:val="21"/>
              </w:rPr>
              <w:t>2.成交供应商须做好安全用水、用火、用电、煤气等工作，必须服从采购人的监督和检查，因成交供应商违反安全生产操作，所造成事故由成交供应商承担一切经济损失和法律责任。</w:t>
            </w:r>
          </w:p>
          <w:p>
            <w:r>
              <w:rPr>
                <w:sz w:val="21"/>
              </w:rPr>
              <w:t>3.成交供应商为食品卫生安全直接责任人，必须严格把好食品卫生安全关。成交供应商须做好食品留样等常规安全手续并做好存档资料工作。服务期间，因食堂食品安全造成的且经食品药品监督部门检查认定或卫生行政部门检验鉴定确认是成交供应商的责任所引起的食品安全事故，由成交供应商承担法律责任和一切经济损失，且采购人有权立即取消成交供应商的服务资格。</w:t>
            </w:r>
          </w:p>
        </w:tc>
      </w:tr>
      <w:tr>
        <w:tc>
          <w:tcPr>
            <w:tcW w:type="dxa" w:w="2076"/>
          </w:tcPr>
          <w:p/>
        </w:tc>
        <w:tc>
          <w:tcPr>
            <w:tcW w:type="dxa" w:w="415"/>
          </w:tcPr>
          <w:p>
            <w:r>
              <w:rPr/>
              <w:t>8</w:t>
            </w:r>
          </w:p>
        </w:tc>
        <w:tc>
          <w:tcPr>
            <w:tcW w:type="dxa" w:w="5814"/>
          </w:tcPr>
          <w:p>
            <w:pPr>
              <w:jc w:val="left"/>
            </w:pPr>
            <w:r>
              <w:rPr>
                <w:b/>
                <w:sz w:val="21"/>
              </w:rPr>
              <w:t>应急服务</w:t>
            </w:r>
          </w:p>
          <w:p>
            <w:r>
              <w:rPr>
                <w:sz w:val="21"/>
              </w:rPr>
              <w:t>采购人有紧急任务需成交供应商提供服务的，成交供应商须无条件响应，具体费用由双方另行商定。采购人有需要采购特殊食材的，采购人应提前</w:t>
            </w:r>
            <w:r>
              <w:rPr>
                <w:sz w:val="21"/>
              </w:rPr>
              <w:t>1至2天通知成交供应商。</w:t>
            </w:r>
          </w:p>
        </w:tc>
      </w:tr>
      <w:tr>
        <w:tc>
          <w:tcPr>
            <w:tcW w:type="dxa" w:w="2076"/>
          </w:tcPr>
          <w:p/>
        </w:tc>
        <w:tc>
          <w:tcPr>
            <w:tcW w:type="dxa" w:w="415"/>
          </w:tcPr>
          <w:p>
            <w:r>
              <w:rPr/>
              <w:t>9</w:t>
            </w:r>
          </w:p>
        </w:tc>
        <w:tc>
          <w:tcPr>
            <w:tcW w:type="dxa" w:w="5814"/>
          </w:tcPr>
          <w:p>
            <w:pPr>
              <w:jc w:val="left"/>
            </w:pPr>
            <w:r>
              <w:rPr>
                <w:b/>
                <w:sz w:val="21"/>
              </w:rPr>
              <w:t>产品监督</w:t>
            </w:r>
          </w:p>
          <w:p>
            <w:pPr>
              <w:jc w:val="left"/>
            </w:pPr>
            <w:r>
              <w:rPr>
                <w:sz w:val="21"/>
              </w:rPr>
              <w:t>1.原材料质量及进货渠道监督，所有食材原料须符合《中华人民共和国食品安全法》要求，符合国家有关标准，保证无异味、无霉烂变质，能提供相应批次的合格检验证明。</w:t>
            </w:r>
          </w:p>
          <w:p>
            <w:pPr>
              <w:jc w:val="left"/>
            </w:pPr>
            <w:r>
              <w:rPr>
                <w:sz w:val="21"/>
              </w:rPr>
              <w:t>2.菜式品种的数量监督，要求每顿供应的菜式须达到合同约定的数量，每周推出菜式须经采购人审核，并定期推出新菜式。</w:t>
            </w:r>
          </w:p>
          <w:p>
            <w:pPr>
              <w:jc w:val="left"/>
            </w:pPr>
            <w:r>
              <w:rPr>
                <w:sz w:val="21"/>
              </w:rPr>
              <w:t>3.产品的质量监督，成交供应商所制作的食品质量要求须符合国家的卫生、安全标准。根据采购人就餐人数和经验积累，做到不留隔夜原料，不留隔餐制成品。</w:t>
            </w:r>
          </w:p>
          <w:p>
            <w:r>
              <w:rPr>
                <w:sz w:val="21"/>
              </w:rPr>
              <w:t>4.服务监督：成交供应商须按采购人要求，提供优质服务，各顿膳食供应须遵守约定时间，按时供应。</w:t>
            </w:r>
          </w:p>
        </w:tc>
      </w:tr>
      <w:tr>
        <w:tc>
          <w:tcPr>
            <w:tcW w:type="dxa" w:w="2076"/>
          </w:tcPr>
          <w:p/>
        </w:tc>
        <w:tc>
          <w:tcPr>
            <w:tcW w:type="dxa" w:w="415"/>
          </w:tcPr>
          <w:p>
            <w:r>
              <w:rPr/>
              <w:t>10</w:t>
            </w:r>
          </w:p>
        </w:tc>
        <w:tc>
          <w:tcPr>
            <w:tcW w:type="dxa" w:w="5814"/>
          </w:tcPr>
          <w:p>
            <w:pPr>
              <w:jc w:val="left"/>
            </w:pPr>
            <w:r>
              <w:rPr>
                <w:b/>
                <w:sz w:val="21"/>
              </w:rPr>
              <w:t>其他要求</w:t>
            </w:r>
          </w:p>
          <w:p>
            <w:pPr>
              <w:jc w:val="left"/>
            </w:pPr>
            <w:r>
              <w:rPr>
                <w:sz w:val="21"/>
              </w:rPr>
              <w:t>1.服务期</w:t>
            </w:r>
            <w:r>
              <w:rPr>
                <w:sz w:val="21"/>
              </w:rPr>
              <w:t>内</w:t>
            </w:r>
            <w:r>
              <w:rPr>
                <w:sz w:val="21"/>
              </w:rPr>
              <w:t>配合采购人节假日组织活动的餐饮需求，</w:t>
            </w:r>
            <w:r>
              <w:rPr>
                <w:sz w:val="21"/>
              </w:rPr>
              <w:t>包含</w:t>
            </w:r>
            <w:r>
              <w:rPr>
                <w:sz w:val="21"/>
              </w:rPr>
              <w:t>节</w:t>
            </w:r>
            <w:r>
              <w:rPr>
                <w:sz w:val="21"/>
              </w:rPr>
              <w:t>假</w:t>
            </w:r>
            <w:r>
              <w:rPr>
                <w:sz w:val="21"/>
              </w:rPr>
              <w:t>日加</w:t>
            </w:r>
            <w:r>
              <w:rPr>
                <w:sz w:val="21"/>
              </w:rPr>
              <w:t>餐活动，具体</w:t>
            </w:r>
            <w:r>
              <w:rPr>
                <w:sz w:val="21"/>
              </w:rPr>
              <w:t>时间</w:t>
            </w:r>
            <w:r>
              <w:rPr>
                <w:sz w:val="21"/>
              </w:rPr>
              <w:t>以采购人要求为准</w:t>
            </w:r>
            <w:r>
              <w:rPr>
                <w:sz w:val="21"/>
              </w:rPr>
              <w:t>，费用已经包含在此项目的服务费用内。</w:t>
            </w:r>
          </w:p>
          <w:p>
            <w:pPr>
              <w:jc w:val="left"/>
            </w:pPr>
            <w:r>
              <w:rPr>
                <w:sz w:val="21"/>
              </w:rPr>
              <w:t>2.</w:t>
            </w:r>
            <w:r>
              <w:rPr>
                <w:sz w:val="21"/>
              </w:rPr>
              <w:t>采购人可根据实际要求对成交供应商</w:t>
            </w:r>
            <w:r>
              <w:rPr>
                <w:sz w:val="21"/>
              </w:rPr>
              <w:t>的</w:t>
            </w:r>
            <w:r>
              <w:rPr>
                <w:sz w:val="21"/>
              </w:rPr>
              <w:t>菜谱进行调整</w:t>
            </w:r>
            <w:r>
              <w:rPr>
                <w:sz w:val="21"/>
              </w:rPr>
              <w:t>，供应商也可根据天气或节日等情况对菜谱提出调整建议，但须征得采购人同意后才可调整。</w:t>
            </w:r>
          </w:p>
          <w:p>
            <w:pPr>
              <w:jc w:val="left"/>
            </w:pPr>
            <w:r>
              <w:rPr>
                <w:sz w:val="21"/>
              </w:rPr>
              <w:t>3.成交供应商应</w:t>
            </w:r>
            <w:r>
              <w:rPr>
                <w:sz w:val="21"/>
              </w:rPr>
              <w:t>无条件配合</w:t>
            </w:r>
            <w:r>
              <w:rPr>
                <w:sz w:val="21"/>
              </w:rPr>
              <w:t>采购人的防疫政策。</w:t>
            </w:r>
            <w:r>
              <w:rPr>
                <w:sz w:val="21"/>
              </w:rPr>
              <w:t>因采购人单位属性特殊，可能会根据疫情防控进行封闭式办公，成交供应商</w:t>
            </w:r>
            <w:r>
              <w:rPr>
                <w:sz w:val="21"/>
              </w:rPr>
              <w:t>须</w:t>
            </w:r>
            <w:r>
              <w:rPr>
                <w:sz w:val="21"/>
              </w:rPr>
              <w:t>无条件配合封闭式</w:t>
            </w:r>
            <w:r>
              <w:rPr>
                <w:sz w:val="21"/>
              </w:rPr>
              <w:t>服务。</w:t>
            </w:r>
          </w:p>
          <w:p>
            <w:pPr>
              <w:jc w:val="left"/>
            </w:pPr>
            <w:r>
              <w:rPr>
                <w:sz w:val="21"/>
              </w:rPr>
              <w:t>4.</w:t>
            </w:r>
            <w:r>
              <w:rPr>
                <w:sz w:val="21"/>
              </w:rPr>
              <w:t>采购人所在单位有部分第三方人员需要在食堂用餐的，用餐费用</w:t>
            </w:r>
            <w:r>
              <w:rPr>
                <w:sz w:val="21"/>
              </w:rPr>
              <w:t>由第三方</w:t>
            </w:r>
            <w:r>
              <w:rPr>
                <w:sz w:val="21"/>
              </w:rPr>
              <w:t>与成交供应商自行协商，采购人不介入</w:t>
            </w:r>
            <w:r>
              <w:rPr>
                <w:sz w:val="21"/>
              </w:rPr>
              <w:t>。除采购人工作人员、托养人员、采购人认可的第三方人员外的其他人员不可在采购人单位饭堂用餐。</w:t>
            </w:r>
          </w:p>
          <w:p>
            <w:r>
              <w:rPr>
                <w:b/>
                <w:sz w:val="21"/>
              </w:rPr>
              <w:t>5.★本项目将预留一定比例采购份额对贫困（脱贫）地区农副产品进行采购。具体按《关于组织地方预算单位做好2023年政府采购脱贫地区农副产品工作的通知》（财办库〔2023〕45号）、《广东省财政厅关于落实2022年政府采购脱贫地区农副产品工作的通知》（粤财采购〔2022〕4号）等相关规定执行，如遇政策变动的，按最新政策要求执行，如各政策不一致的，取最高比例</w:t>
            </w:r>
            <w:r>
              <w:rPr>
                <w:b/>
                <w:sz w:val="21"/>
              </w:rPr>
              <w:t>预留</w:t>
            </w:r>
            <w:r>
              <w:rPr>
                <w:b/>
                <w:sz w:val="21"/>
              </w:rPr>
              <w:t>。（响应供应商须在投标文件中提供承诺函，格式自拟）</w:t>
            </w:r>
          </w:p>
        </w:tc>
      </w:tr>
      <w:tr>
        <w:tc>
          <w:tcPr>
            <w:tcW w:type="dxa" w:w="2076"/>
          </w:tcPr>
          <w:p/>
        </w:tc>
        <w:tc>
          <w:tcPr>
            <w:tcW w:type="dxa" w:w="415"/>
          </w:tcPr>
          <w:p>
            <w:r>
              <w:rPr/>
              <w:t>11</w:t>
            </w:r>
          </w:p>
        </w:tc>
        <w:tc>
          <w:tcPr>
            <w:tcW w:type="dxa" w:w="5814"/>
          </w:tcPr>
          <w:p>
            <w:pPr>
              <w:jc w:val="left"/>
            </w:pPr>
            <w:r>
              <w:rPr>
                <w:b/>
                <w:sz w:val="21"/>
              </w:rPr>
              <w:t>服务质量考核要求</w:t>
            </w:r>
          </w:p>
          <w:p>
            <w:pPr>
              <w:jc w:val="left"/>
            </w:pPr>
            <w:r>
              <w:rPr>
                <w:sz w:val="21"/>
              </w:rPr>
              <w:t>采购人每月对成交供应商进行服务质量考核。满分为</w:t>
            </w:r>
            <w:r>
              <w:rPr>
                <w:sz w:val="21"/>
              </w:rPr>
              <w:t>100分，若发现问题扣除对应分值。</w:t>
            </w:r>
          </w:p>
          <w:p>
            <w:pPr>
              <w:jc w:val="left"/>
            </w:pPr>
            <w:r>
              <w:rPr>
                <w:sz w:val="21"/>
              </w:rPr>
              <w:t>1.考核得分&lt;90分的，采购人有权要求成交供应商整改并处以罚款，85分以下罚款3000元；85分（含）-90分(不含）罚款1000元。</w:t>
            </w:r>
          </w:p>
          <w:p>
            <w:pPr>
              <w:jc w:val="left"/>
            </w:pPr>
            <w:r>
              <w:rPr>
                <w:sz w:val="21"/>
              </w:rPr>
              <w:t>2.合同期内，如成交供应商考核得分累计3次低于85分的，采购人有权单方面终止合同。</w:t>
            </w:r>
          </w:p>
          <w:p>
            <w:pPr>
              <w:jc w:val="center"/>
            </w:pPr>
            <w:r>
              <w:rPr>
                <w:b/>
                <w:sz w:val="32"/>
              </w:rPr>
              <w:t>服务质量考核表</w:t>
            </w:r>
          </w:p>
          <w:p>
            <w:pPr>
              <w:jc w:val="left"/>
            </w:pPr>
            <w:r>
              <w:rPr>
                <w:sz w:val="21"/>
              </w:rPr>
              <w:t>考核时间：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922"/>
              <w:gridCol w:w="666"/>
              <w:gridCol w:w="1856"/>
              <w:gridCol w:w="935"/>
              <w:gridCol w:w="947"/>
            </w:tblGrid>
            <w:tr>
              <w:tc>
                <w:tcPr>
                  <w:tcW w:type="dxa" w:w="922"/>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6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56"/>
                  <w:tcBorders>
                    <w:top w:val="single" w:color="000000" w:sz="4"/>
                    <w:left w:val="single" w:color="000000" w:sz="4"/>
                    <w:bottom w:val="single" w:color="000000" w:sz="4"/>
                    <w:right w:val="single" w:color="000000" w:sz="4"/>
                  </w:tcBorders>
                  <w:vAlign w:val="top"/>
                </w:tcPr>
                <w:p>
                  <w:pPr>
                    <w:jc w:val="center"/>
                  </w:pPr>
                  <w:r>
                    <w:rPr>
                      <w:sz w:val="21"/>
                    </w:rPr>
                    <w:t>检查具体内容</w:t>
                  </w:r>
                </w:p>
              </w:tc>
              <w:tc>
                <w:tcPr>
                  <w:tcW w:type="dxa" w:w="935"/>
                  <w:tcBorders>
                    <w:top w:val="single" w:color="000000" w:sz="4"/>
                    <w:left w:val="single" w:color="000000" w:sz="4"/>
                    <w:bottom w:val="single" w:color="000000" w:sz="4"/>
                    <w:right w:val="single" w:color="000000" w:sz="4"/>
                  </w:tcBorders>
                  <w:vAlign w:val="top"/>
                </w:tcPr>
                <w:p>
                  <w:pPr>
                    <w:jc w:val="center"/>
                  </w:pPr>
                  <w:r>
                    <w:rPr>
                      <w:sz w:val="21"/>
                    </w:rPr>
                    <w:t>评分标准</w:t>
                  </w:r>
                </w:p>
              </w:tc>
              <w:tc>
                <w:tcPr>
                  <w:tcW w:type="dxa" w:w="947"/>
                  <w:tcBorders>
                    <w:top w:val="single" w:color="000000" w:sz="4"/>
                    <w:left w:val="single" w:color="000000" w:sz="4"/>
                    <w:bottom w:val="single" w:color="000000" w:sz="4"/>
                    <w:right w:val="single" w:color="000000" w:sz="4"/>
                  </w:tcBorders>
                  <w:vAlign w:val="top"/>
                </w:tcPr>
                <w:p>
                  <w:pPr>
                    <w:jc w:val="center"/>
                  </w:pPr>
                  <w:r>
                    <w:rPr>
                      <w:sz w:val="21"/>
                    </w:rPr>
                    <w:t>检查</w:t>
                  </w:r>
                  <w:r>
                    <w:rPr>
                      <w:sz w:val="21"/>
                    </w:rPr>
                    <w:t>情况</w:t>
                  </w:r>
                </w:p>
              </w:tc>
            </w:tr>
            <w:tr>
              <w:tc>
                <w:tcPr>
                  <w:tcW w:type="dxa" w:w="922"/>
                  <w:vMerge w:val="restart"/>
                  <w:tcBorders>
                    <w:top w:val="none" w:color="000000" w:sz="4"/>
                    <w:left w:val="single" w:color="000000" w:sz="4"/>
                    <w:bottom w:val="single" w:color="000000" w:sz="4"/>
                    <w:right w:val="single" w:color="000000" w:sz="4"/>
                  </w:tcBorders>
                  <w:vAlign w:val="top"/>
                </w:tcPr>
                <w:p>
                  <w:pPr>
                    <w:jc w:val="center"/>
                  </w:pPr>
                  <w:r>
                    <w:rPr>
                      <w:sz w:val="21"/>
                    </w:rPr>
                    <w:t>饭菜质量</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鲜肉、大米、油、面粉、豆类、佐料等食品原料必须从正规渠道进货，所购材料必须有供货方的卫生合格证或销售许可证。</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蔬菜、鱼类要求新鲜、洁净无污染。来源应当于受到地方政府部门监管的自有基地、商品菜基地或专业流通市场。</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饭堂采购的不需要加工食品必须达到卫生标准要求，标有生产日期及保质期限，无霉变、异味现象。</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2分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食品食物中出现杂物、不熟现象</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2分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中、晚餐荤、素营养搭配按甲方要求</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val="restart"/>
                  <w:tcBorders>
                    <w:top w:val="none" w:color="000000" w:sz="4"/>
                    <w:left w:val="single" w:color="000000" w:sz="4"/>
                    <w:bottom w:val="single" w:color="000000" w:sz="4"/>
                    <w:right w:val="single" w:color="000000" w:sz="4"/>
                  </w:tcBorders>
                  <w:vAlign w:val="top"/>
                </w:tcPr>
                <w:p>
                  <w:pPr>
                    <w:jc w:val="center"/>
                  </w:pPr>
                  <w:r>
                    <w:rPr>
                      <w:sz w:val="21"/>
                    </w:rPr>
                    <w:t>服务质量</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饭堂工作人员必须持有效的健康证上岗，定时检查。在加工及出售食品时需穿戴整洁的工作服、工作帽并将头发置于帽内，并挂牌上岗。</w:t>
                  </w:r>
                </w:p>
              </w:tc>
              <w:tc>
                <w:tcPr>
                  <w:tcW w:type="dxa" w:w="935"/>
                  <w:tcBorders>
                    <w:top w:val="none" w:color="000000" w:sz="4"/>
                    <w:left w:val="single" w:color="000000" w:sz="4"/>
                    <w:bottom w:val="single" w:color="000000" w:sz="4"/>
                    <w:right w:val="single" w:color="000000" w:sz="4"/>
                  </w:tcBorders>
                  <w:vAlign w:val="top"/>
                </w:tcPr>
                <w:p>
                  <w:pPr>
                    <w:jc w:val="left"/>
                  </w:pPr>
                  <w:r>
                    <w:rPr>
                      <w:sz w:val="21"/>
                    </w:rPr>
                    <w:t>无健康证并定期检查</w:t>
                  </w:r>
                  <w:r>
                    <w:rPr>
                      <w:sz w:val="21"/>
                    </w:rPr>
                    <w:t>1人扣2分，未按要求着装1人扣1分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饭堂工作人员必须保持整洁，双手干净，操作食品时禁止吸烟、对食品打喷嚏等不卫生行为。</w:t>
                  </w:r>
                </w:p>
              </w:tc>
              <w:tc>
                <w:tcPr>
                  <w:tcW w:type="dxa" w:w="935"/>
                  <w:tcBorders>
                    <w:top w:val="none" w:color="000000" w:sz="4"/>
                    <w:left w:val="single" w:color="000000" w:sz="4"/>
                    <w:bottom w:val="single" w:color="000000" w:sz="4"/>
                    <w:right w:val="single" w:color="000000" w:sz="4"/>
                  </w:tcBorders>
                  <w:vAlign w:val="top"/>
                </w:tcPr>
                <w:p>
                  <w:pPr>
                    <w:jc w:val="left"/>
                  </w:pPr>
                  <w:r>
                    <w:rPr>
                      <w:sz w:val="21"/>
                    </w:rPr>
                    <w:t>发现一次扣</w:t>
                  </w:r>
                  <w:r>
                    <w:rPr>
                      <w:sz w:val="21"/>
                    </w:rPr>
                    <w:t>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出售食品时不能用手直接接触食品。</w:t>
                  </w:r>
                </w:p>
              </w:tc>
              <w:tc>
                <w:tcPr>
                  <w:tcW w:type="dxa" w:w="935"/>
                  <w:tcBorders>
                    <w:top w:val="none" w:color="000000" w:sz="4"/>
                    <w:left w:val="single" w:color="000000" w:sz="4"/>
                    <w:bottom w:val="single" w:color="000000" w:sz="4"/>
                    <w:right w:val="single" w:color="000000" w:sz="4"/>
                  </w:tcBorders>
                  <w:vAlign w:val="top"/>
                </w:tcPr>
                <w:p>
                  <w:pPr>
                    <w:jc w:val="left"/>
                  </w:pPr>
                  <w:r>
                    <w:rPr>
                      <w:sz w:val="21"/>
                    </w:rPr>
                    <w:t>发现一次扣</w:t>
                  </w:r>
                  <w:r>
                    <w:rPr>
                      <w:sz w:val="21"/>
                    </w:rPr>
                    <w:t>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饭堂工作人员需耐心解答、微笑服务，不得发生争吵、打骂等不文明行为，有问题反映相关管理部门解决。</w:t>
                  </w:r>
                </w:p>
              </w:tc>
              <w:tc>
                <w:tcPr>
                  <w:tcW w:type="dxa" w:w="935"/>
                  <w:tcBorders>
                    <w:top w:val="none" w:color="000000" w:sz="4"/>
                    <w:left w:val="single" w:color="000000" w:sz="4"/>
                    <w:bottom w:val="single" w:color="000000" w:sz="4"/>
                    <w:right w:val="single" w:color="000000" w:sz="4"/>
                  </w:tcBorders>
                  <w:vAlign w:val="top"/>
                </w:tcPr>
                <w:p>
                  <w:pPr>
                    <w:jc w:val="left"/>
                  </w:pPr>
                  <w:r>
                    <w:rPr>
                      <w:sz w:val="21"/>
                    </w:rPr>
                    <w:t>发现</w:t>
                  </w:r>
                  <w:r>
                    <w:rPr>
                      <w:sz w:val="21"/>
                    </w:rPr>
                    <w:t>1人不文明行为扣2分。有人举报1人次扣5分。如出现恶劣事件，甲方将根据造成的影响对当期考核结果做出调整</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按甲方规定时间开餐</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不符合要求的一次扣</w:t>
                  </w:r>
                  <w:r>
                    <w:rPr>
                      <w:sz w:val="21"/>
                    </w:rPr>
                    <w:t>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val="restart"/>
                  <w:tcBorders>
                    <w:top w:val="none" w:color="000000" w:sz="4"/>
                    <w:left w:val="single" w:color="000000" w:sz="4"/>
                    <w:bottom w:val="single" w:color="000000" w:sz="4"/>
                    <w:right w:val="single" w:color="000000" w:sz="4"/>
                  </w:tcBorders>
                  <w:vAlign w:val="top"/>
                </w:tcPr>
                <w:p>
                  <w:pPr>
                    <w:jc w:val="center"/>
                  </w:pPr>
                  <w:r>
                    <w:rPr>
                      <w:sz w:val="21"/>
                    </w:rPr>
                    <w:t>卫生标准质量</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工作间无苍蝇、老鼠，防蝇、防鼠、防尘设备齐全、有效。</w:t>
                  </w:r>
                </w:p>
              </w:tc>
              <w:tc>
                <w:tcPr>
                  <w:tcW w:type="dxa" w:w="935"/>
                  <w:tcBorders>
                    <w:top w:val="none" w:color="000000" w:sz="4"/>
                    <w:left w:val="single" w:color="000000" w:sz="4"/>
                    <w:bottom w:val="single" w:color="000000" w:sz="4"/>
                    <w:right w:val="single" w:color="000000" w:sz="4"/>
                  </w:tcBorders>
                  <w:vAlign w:val="top"/>
                </w:tcPr>
                <w:p>
                  <w:pPr>
                    <w:jc w:val="left"/>
                  </w:pPr>
                  <w:r>
                    <w:rPr>
                      <w:sz w:val="21"/>
                    </w:rPr>
                    <w:t>发现苍蝇一次扣</w:t>
                  </w:r>
                  <w:r>
                    <w:rPr>
                      <w:sz w:val="21"/>
                    </w:rPr>
                    <w:t>2分、老鼠一次扣3分，无防蝇、防鼠、防尘设备扣2分。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原料、半成品、成品的加工、存放及使用容器是否存在交叉污染及使用容器是否存在交叉污染并有明显的区分标志，生、熟食品分开，食品存放分类分架，无过期、变质食品。</w:t>
                  </w:r>
                </w:p>
              </w:tc>
              <w:tc>
                <w:tcPr>
                  <w:tcW w:type="dxa" w:w="935"/>
                  <w:tcBorders>
                    <w:top w:val="none" w:color="000000" w:sz="4"/>
                    <w:left w:val="single" w:color="000000" w:sz="4"/>
                    <w:bottom w:val="single" w:color="000000" w:sz="4"/>
                    <w:right w:val="single" w:color="000000" w:sz="4"/>
                  </w:tcBorders>
                  <w:vAlign w:val="top"/>
                </w:tcPr>
                <w:p>
                  <w:pPr>
                    <w:jc w:val="left"/>
                  </w:pPr>
                  <w:r>
                    <w:rPr>
                      <w:sz w:val="21"/>
                    </w:rPr>
                    <w:t>存在交叉污染并无明显的区分标志扣</w:t>
                  </w:r>
                  <w:r>
                    <w:rPr>
                      <w:sz w:val="21"/>
                    </w:rPr>
                    <w:t>2分，生、熟食品未分开且食品存放没有分类分架扣3分。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工作间卫生清洁，地面干净、无积水、无杂物，操作台及灶台整洁。</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一项不清洁扣</w:t>
                  </w:r>
                  <w:r>
                    <w:rPr>
                      <w:sz w:val="21"/>
                    </w:rPr>
                    <w:t>2分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炊具餐具、菜具、熟食容器定期消毒并保持清洁，做到</w:t>
                  </w:r>
                  <w:r>
                    <w:rPr>
                      <w:sz w:val="21"/>
                    </w:rPr>
                    <w:t>“一洗二清三消毒四隔离。”</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不消毒作业扣</w:t>
                  </w:r>
                  <w:r>
                    <w:rPr>
                      <w:sz w:val="21"/>
                    </w:rPr>
                    <w:t>2分，不定期扣1分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56"/>
                  <w:tcBorders>
                    <w:top w:val="none" w:color="000000" w:sz="4"/>
                    <w:left w:val="single" w:color="000000" w:sz="4"/>
                    <w:bottom w:val="single" w:color="000000" w:sz="4"/>
                    <w:right w:val="single" w:color="000000" w:sz="4"/>
                  </w:tcBorders>
                  <w:vAlign w:val="top"/>
                </w:tcPr>
                <w:p>
                  <w:pPr>
                    <w:jc w:val="left"/>
                  </w:pPr>
                  <w:r>
                    <w:rPr>
                      <w:sz w:val="21"/>
                    </w:rPr>
                    <w:t>饭堂应建立严格的安全保卫规定，严禁非饭堂人员随意进入食堂的食品加工操作间及原料仓库。</w:t>
                  </w:r>
                </w:p>
              </w:tc>
              <w:tc>
                <w:tcPr>
                  <w:tcW w:type="dxa" w:w="935"/>
                  <w:tcBorders>
                    <w:top w:val="none" w:color="000000" w:sz="4"/>
                    <w:left w:val="single" w:color="000000" w:sz="4"/>
                    <w:bottom w:val="single" w:color="000000" w:sz="4"/>
                    <w:right w:val="single" w:color="000000" w:sz="4"/>
                  </w:tcBorders>
                  <w:vAlign w:val="top"/>
                </w:tcPr>
                <w:p>
                  <w:pPr>
                    <w:jc w:val="left"/>
                  </w:pPr>
                  <w:r>
                    <w:rPr>
                      <w:sz w:val="21"/>
                    </w:rPr>
                    <w:t>不按规定执行扣</w:t>
                  </w:r>
                  <w:r>
                    <w:rPr>
                      <w:sz w:val="21"/>
                    </w:rPr>
                    <w:t>2分，发现非饭堂人员随意进入饭堂一次扣1分</w:t>
                  </w:r>
                </w:p>
              </w:tc>
              <w:tc>
                <w:tcPr>
                  <w:tcW w:type="dxa" w:w="947"/>
                  <w:tcBorders>
                    <w:top w:val="none" w:color="000000" w:sz="4"/>
                    <w:left w:val="single" w:color="000000" w:sz="4"/>
                    <w:bottom w:val="single" w:color="000000" w:sz="4"/>
                    <w:right w:val="single" w:color="000000" w:sz="4"/>
                  </w:tcBorders>
                  <w:vAlign w:val="top"/>
                </w:tcPr>
                <w:p>
                  <w:pPr>
                    <w:jc w:val="left"/>
                  </w:pPr>
                </w:p>
              </w:tc>
            </w:tr>
            <w:tr>
              <w:tc>
                <w:tcPr>
                  <w:tcW w:type="dxa" w:w="922"/>
                  <w:vMerge w:val="restart"/>
                  <w:tcBorders>
                    <w:top w:val="none" w:color="000000" w:sz="4"/>
                    <w:left w:val="single" w:color="000000" w:sz="4"/>
                    <w:bottom w:val="single" w:color="000000" w:sz="4"/>
                    <w:right w:val="single" w:color="000000" w:sz="4"/>
                  </w:tcBorders>
                  <w:vAlign w:val="top"/>
                </w:tcPr>
                <w:p>
                  <w:pPr>
                    <w:jc w:val="left"/>
                  </w:pPr>
                  <w:r>
                    <w:rPr>
                      <w:sz w:val="21"/>
                    </w:rPr>
                    <w:t>其他</w:t>
                  </w:r>
                </w:p>
              </w:tc>
              <w:tc>
                <w:tcPr>
                  <w:tcW w:type="dxa" w:w="666"/>
                  <w:tcBorders>
                    <w:top w:val="none" w:color="000000" w:sz="4"/>
                    <w:left w:val="none" w:color="000000" w:sz="4"/>
                    <w:bottom w:val="single" w:color="000000" w:sz="4"/>
                    <w:right w:val="single" w:color="000000" w:sz="4"/>
                  </w:tcBorders>
                  <w:vAlign w:val="top"/>
                </w:tcPr>
                <w:p>
                  <w:pPr>
                    <w:jc w:val="center"/>
                  </w:pPr>
                  <w:r>
                    <w:rPr>
                      <w:sz w:val="21"/>
                    </w:rPr>
                    <w:t>1</w:t>
                  </w:r>
                </w:p>
              </w:tc>
              <w:tc>
                <w:tcPr>
                  <w:tcW w:type="dxa" w:w="1856"/>
                  <w:tcBorders>
                    <w:top w:val="none" w:color="000000" w:sz="4"/>
                    <w:left w:val="none" w:color="000000" w:sz="4"/>
                    <w:bottom w:val="single" w:color="000000" w:sz="4"/>
                    <w:right w:val="single" w:color="000000" w:sz="4"/>
                  </w:tcBorders>
                  <w:vAlign w:val="top"/>
                </w:tcPr>
                <w:p>
                  <w:pPr>
                    <w:jc w:val="left"/>
                  </w:pPr>
                  <w:r>
                    <w:rPr>
                      <w:sz w:val="21"/>
                    </w:rPr>
                    <w:t>积极配合采购人的防疫政策。</w:t>
                  </w:r>
                </w:p>
              </w:tc>
              <w:tc>
                <w:tcPr>
                  <w:tcW w:type="dxa" w:w="935"/>
                  <w:tcBorders>
                    <w:top w:val="none" w:color="000000" w:sz="4"/>
                    <w:left w:val="none" w:color="000000" w:sz="4"/>
                    <w:bottom w:val="single" w:color="000000" w:sz="4"/>
                    <w:right w:val="single" w:color="000000" w:sz="4"/>
                  </w:tcBorders>
                  <w:vAlign w:val="top"/>
                </w:tcPr>
                <w:p>
                  <w:pPr>
                    <w:jc w:val="left"/>
                  </w:pPr>
                  <w:r>
                    <w:rPr>
                      <w:sz w:val="21"/>
                    </w:rPr>
                    <w:t>不配合采购人的防疫政策，扣</w:t>
                  </w:r>
                  <w:r>
                    <w:rPr>
                      <w:sz w:val="21"/>
                    </w:rPr>
                    <w:t>10分/次</w:t>
                  </w:r>
                </w:p>
              </w:tc>
              <w:tc>
                <w:tcPr>
                  <w:tcW w:type="dxa" w:w="947"/>
                  <w:tcBorders>
                    <w:top w:val="none" w:color="000000" w:sz="4"/>
                    <w:left w:val="non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none" w:color="000000" w:sz="4"/>
                    <w:bottom w:val="single" w:color="000000" w:sz="4"/>
                    <w:right w:val="single" w:color="000000" w:sz="4"/>
                  </w:tcBorders>
                  <w:vAlign w:val="top"/>
                </w:tcPr>
                <w:p>
                  <w:pPr>
                    <w:jc w:val="center"/>
                  </w:pPr>
                  <w:r>
                    <w:rPr>
                      <w:sz w:val="21"/>
                    </w:rPr>
                    <w:t>2</w:t>
                  </w:r>
                </w:p>
              </w:tc>
              <w:tc>
                <w:tcPr>
                  <w:tcW w:type="dxa" w:w="1856"/>
                  <w:tcBorders>
                    <w:top w:val="none" w:color="000000" w:sz="4"/>
                    <w:left w:val="none" w:color="000000" w:sz="4"/>
                    <w:bottom w:val="single" w:color="000000" w:sz="4"/>
                    <w:right w:val="single" w:color="000000" w:sz="4"/>
                  </w:tcBorders>
                  <w:vAlign w:val="top"/>
                </w:tcPr>
                <w:p>
                  <w:pPr>
                    <w:jc w:val="left"/>
                  </w:pPr>
                  <w:r>
                    <w:rPr>
                      <w:sz w:val="21"/>
                    </w:rPr>
                    <w:t>积极配合采购人对菜谱的调整。</w:t>
                  </w:r>
                </w:p>
              </w:tc>
              <w:tc>
                <w:tcPr>
                  <w:tcW w:type="dxa" w:w="935"/>
                  <w:tcBorders>
                    <w:top w:val="none" w:color="000000" w:sz="4"/>
                    <w:left w:val="none" w:color="000000" w:sz="4"/>
                    <w:bottom w:val="single" w:color="000000" w:sz="4"/>
                    <w:right w:val="single" w:color="000000" w:sz="4"/>
                  </w:tcBorders>
                  <w:vAlign w:val="top"/>
                </w:tcPr>
                <w:p>
                  <w:pPr>
                    <w:jc w:val="left"/>
                  </w:pPr>
                  <w:r>
                    <w:rPr>
                      <w:sz w:val="21"/>
                    </w:rPr>
                    <w:t>不配合采购人对菜谱的调整，扣</w:t>
                  </w:r>
                  <w:r>
                    <w:rPr>
                      <w:sz w:val="21"/>
                    </w:rPr>
                    <w:t>5分/次</w:t>
                  </w:r>
                </w:p>
              </w:tc>
              <w:tc>
                <w:tcPr>
                  <w:tcW w:type="dxa" w:w="947"/>
                  <w:tcBorders>
                    <w:top w:val="none" w:color="000000" w:sz="4"/>
                    <w:left w:val="none" w:color="000000" w:sz="4"/>
                    <w:bottom w:val="single" w:color="000000" w:sz="4"/>
                    <w:right w:val="single" w:color="000000" w:sz="4"/>
                  </w:tcBorders>
                  <w:vAlign w:val="top"/>
                </w:tcPr>
                <w:p>
                  <w:pPr>
                    <w:jc w:val="left"/>
                  </w:pPr>
                </w:p>
              </w:tc>
            </w:tr>
            <w:tr>
              <w:tc>
                <w:tcPr>
                  <w:tcW w:type="dxa" w:w="922"/>
                  <w:vMerge/>
                  <w:tcBorders>
                    <w:top w:val="none" w:color="000000" w:sz="4"/>
                    <w:left w:val="single" w:color="000000" w:sz="4"/>
                    <w:bottom w:val="single" w:color="000000" w:sz="4"/>
                    <w:right w:val="single" w:color="000000" w:sz="4"/>
                  </w:tcBorders>
                </w:tcPr>
                <w:p/>
              </w:tc>
              <w:tc>
                <w:tcPr>
                  <w:tcW w:type="dxa" w:w="666"/>
                  <w:tcBorders>
                    <w:top w:val="none" w:color="000000" w:sz="4"/>
                    <w:left w:val="none" w:color="000000" w:sz="4"/>
                    <w:bottom w:val="single" w:color="000000" w:sz="4"/>
                    <w:right w:val="single" w:color="000000" w:sz="4"/>
                  </w:tcBorders>
                  <w:vAlign w:val="top"/>
                </w:tcPr>
                <w:p>
                  <w:pPr>
                    <w:jc w:val="center"/>
                  </w:pPr>
                  <w:r>
                    <w:rPr>
                      <w:sz w:val="21"/>
                    </w:rPr>
                    <w:t>3</w:t>
                  </w:r>
                </w:p>
              </w:tc>
              <w:tc>
                <w:tcPr>
                  <w:tcW w:type="dxa" w:w="1856"/>
                  <w:tcBorders>
                    <w:top w:val="none" w:color="000000" w:sz="4"/>
                    <w:left w:val="none" w:color="000000" w:sz="4"/>
                    <w:bottom w:val="single" w:color="000000" w:sz="4"/>
                    <w:right w:val="single" w:color="000000" w:sz="4"/>
                  </w:tcBorders>
                  <w:vAlign w:val="top"/>
                </w:tcPr>
                <w:p>
                  <w:pPr>
                    <w:jc w:val="left"/>
                  </w:pPr>
                  <w:r>
                    <w:rPr>
                      <w:sz w:val="21"/>
                    </w:rPr>
                    <w:t>根据采购人的要求组织加餐或聚餐等活动（如有）。</w:t>
                  </w:r>
                </w:p>
              </w:tc>
              <w:tc>
                <w:tcPr>
                  <w:tcW w:type="dxa" w:w="935"/>
                  <w:tcBorders>
                    <w:top w:val="none" w:color="000000" w:sz="4"/>
                    <w:left w:val="none" w:color="000000" w:sz="4"/>
                    <w:bottom w:val="single" w:color="000000" w:sz="4"/>
                    <w:right w:val="single" w:color="000000" w:sz="4"/>
                  </w:tcBorders>
                  <w:vAlign w:val="top"/>
                </w:tcPr>
                <w:p>
                  <w:pPr>
                    <w:jc w:val="left"/>
                  </w:pPr>
                  <w:r>
                    <w:rPr>
                      <w:sz w:val="21"/>
                    </w:rPr>
                    <w:t>未能根据采购人的要求组织加餐或聚餐等活动，扣</w:t>
                  </w:r>
                  <w:r>
                    <w:rPr>
                      <w:sz w:val="21"/>
                    </w:rPr>
                    <w:t>5分/次</w:t>
                  </w:r>
                </w:p>
              </w:tc>
              <w:tc>
                <w:tcPr>
                  <w:tcW w:type="dxa" w:w="947"/>
                  <w:tcBorders>
                    <w:top w:val="none" w:color="000000" w:sz="4"/>
                    <w:left w:val="none" w:color="000000" w:sz="4"/>
                    <w:bottom w:val="single" w:color="000000" w:sz="4"/>
                    <w:right w:val="single" w:color="000000" w:sz="4"/>
                  </w:tcBorders>
                  <w:vAlign w:val="top"/>
                </w:tcPr>
                <w:p>
                  <w:pPr>
                    <w:jc w:val="left"/>
                  </w:pPr>
                </w:p>
              </w:tc>
            </w:tr>
            <w:tr>
              <w:tc>
                <w:tcPr>
                  <w:tcW w:type="dxa" w:w="3444"/>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935"/>
                  <w:tcBorders>
                    <w:top w:val="none" w:color="000000" w:sz="4"/>
                    <w:left w:val="none" w:color="000000" w:sz="4"/>
                    <w:bottom w:val="single" w:color="000000" w:sz="4"/>
                    <w:right w:val="single" w:color="000000" w:sz="4"/>
                  </w:tcBorders>
                  <w:vAlign w:val="top"/>
                </w:tcPr>
                <w:p>
                  <w:pPr>
                    <w:jc w:val="left"/>
                  </w:pPr>
                </w:p>
              </w:tc>
              <w:tc>
                <w:tcPr>
                  <w:tcW w:type="dxa" w:w="947"/>
                  <w:tcBorders>
                    <w:top w:val="none" w:color="000000" w:sz="4"/>
                    <w:left w:val="none" w:color="000000" w:sz="4"/>
                    <w:bottom w:val="single" w:color="000000" w:sz="4"/>
                    <w:right w:val="single" w:color="000000" w:sz="4"/>
                  </w:tcBorders>
                  <w:vAlign w:val="top"/>
                </w:tcPr>
                <w:p>
                  <w:pPr>
                    <w:jc w:val="left"/>
                  </w:pPr>
                </w:p>
              </w:tc>
            </w:tr>
            <w:tr>
              <w:tc>
                <w:tcPr>
                  <w:tcW w:type="dxa" w:w="3444"/>
                  <w:gridSpan w:val="3"/>
                  <w:tcBorders>
                    <w:top w:val="none" w:color="000000" w:sz="4"/>
                    <w:left w:val="single" w:color="000000" w:sz="4"/>
                    <w:bottom w:val="single" w:color="000000" w:sz="4"/>
                    <w:right w:val="single" w:color="000000" w:sz="4"/>
                  </w:tcBorders>
                  <w:vAlign w:val="top"/>
                </w:tcPr>
                <w:p>
                  <w:pPr>
                    <w:jc w:val="center"/>
                  </w:pPr>
                  <w:r>
                    <w:rPr>
                      <w:sz w:val="21"/>
                    </w:rPr>
                    <w:t>最终得分</w:t>
                  </w:r>
                </w:p>
              </w:tc>
              <w:tc>
                <w:tcPr>
                  <w:tcW w:type="dxa" w:w="1882"/>
                  <w:gridSpan w:val="2"/>
                  <w:tcBorders>
                    <w:top w:val="none" w:color="000000" w:sz="4"/>
                    <w:left w:val="none" w:color="000000" w:sz="4"/>
                    <w:bottom w:val="single" w:color="000000" w:sz="4"/>
                    <w:right w:val="single" w:color="000000" w:sz="4"/>
                  </w:tcBorders>
                  <w:vAlign w:val="top"/>
                </w:tcPr>
                <w:p>
                  <w:pPr>
                    <w:jc w:val="left"/>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佛山市精神病治疗所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中标(成交)通知书中的中标(成交)金额作为招标代理服务费的计算基数。差额定率累进法收费，参照国家计委《招标代理服务收费管理暂行办法》（计价格[2002]1980号）、国家发改委[2003]857号及发改价格[2011]534号文件中规定的计算方法和计费标准“服务类”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3，本竞争性磋商文件内要求的扫描件或复印件，可以是原件的扫描件，也可以是复印件的扫描件。扫描件性质上可视为复印件。</w:t>
            </w:r>
          </w:p>
          <w:p>
            <w:pPr>
              <w:jc w:val="left"/>
            </w:pPr>
            <w:r>
              <w:rPr/>
              <w:t>4，最终报价是否需要响应供应商加盖公章以磋商时磋商小组系统设置为准，如本竞争性磋商文件与此描述有不一致的，以此描述为准。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精神病治疗所2023年膳食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采购包1（佛山市精神病治疗所2023年膳食服务采购项目）：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采购包1（佛山市精神病治疗所2023年膳食服务采购项目）：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提供2021年度或2022年度财务状况报告或响应文件递交截止日前6个月内（含截止日当月）任意1个月的的财务状况报告复印件，或基本开户行出具的资信证明复印件。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特定资格要求</w:t>
            </w:r>
          </w:p>
        </w:tc>
        <w:tc>
          <w:tcPr>
            <w:tcW w:type="dxa" w:w="4238"/>
          </w:tcPr>
          <w:p>
            <w:r>
              <w:rPr/>
              <w:t>供应商须具有有效期内的《食品经营许可证》，如供应商的《食品经营许可证》证明与营业执照合并办理的，提供扫描营业执照二维码后的有效备案信息截图。</w:t>
            </w:r>
          </w:p>
        </w:tc>
      </w:tr>
      <w:tr>
        <w:tc>
          <w:tcPr>
            <w:tcW w:type="dxa" w:w="890"/>
          </w:tcPr>
          <w:p>
            <w:r>
              <w:rPr/>
              <w:t>9</w:t>
            </w:r>
          </w:p>
        </w:tc>
        <w:tc>
          <w:tcPr>
            <w:tcW w:type="dxa" w:w="3178"/>
          </w:tcPr>
          <w:p>
            <w:r>
              <w:rPr/>
              <w:t>本采购包专门面向中小企业采购</w:t>
            </w:r>
          </w:p>
        </w:tc>
        <w:tc>
          <w:tcPr>
            <w:tcW w:type="dxa" w:w="4238"/>
          </w:tcPr>
          <w:p>
            <w:r>
              <w:rPr/>
              <w:t>本项目为专门面向中小企业采购项目，供应商应为中小微企业或监狱企业或残疾人福利性单位，并提供对应的书面声明函，本项目采购标的对应的中小企业划分标准所属行业为：其他未列明行业。《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tc>
      </w:tr>
    </w:tbl>
    <w:p/>
    <w:p>
      <w:pPr>
        <w:ind w:firstLine="480"/>
      </w:pPr>
      <w:r>
        <w:rPr/>
        <w:t>表二符合性审查表：</w:t>
      </w:r>
    </w:p>
    <w:p>
      <w:pPr>
        <w:ind w:firstLine="480"/>
      </w:pPr>
    </w:p>
    <w:p/>
    <w:p>
      <w:r>
        <w:rPr/>
        <w:t>采购包1（佛山市精神病治疗所2023年膳食服务采购项目）：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首次报价折扣率在0~100%范围，且是固定唯一值。</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采购包1(佛山市精神病治疗所2023年膳食服务采购项目):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整体服务方案 (10.0分)</w:t>
            </w:r>
            <w:r>
              <w:rPr/>
              <w:t>，（等次分值选择：</w:t>
            </w:r>
            <w:r>
              <w:rPr/>
              <w:t>0.0;</w:t>
            </w:r>
            <w:r>
              <w:rPr/>
              <w:t>2.0;</w:t>
            </w:r>
            <w:r>
              <w:rPr/>
              <w:t>6.0;</w:t>
            </w:r>
            <w:r>
              <w:rPr/>
              <w:t>10.0;</w:t>
            </w:r>
            <w:r>
              <w:rPr/>
              <w:t>）</w:t>
            </w:r>
          </w:p>
        </w:tc>
        <w:tc>
          <w:tcPr>
            <w:tcW w:type="dxa" w:w="5076"/>
          </w:tcPr>
          <w:p>
            <w:pPr>
              <w:jc w:val="left"/>
            </w:pPr>
            <w:r>
              <w:rPr/>
              <w:t>根据响应供应商对本项目的整体服务方案（包括不限于食材采购、出餐保障、菜单多样性及适应季节的菜样调整）进行评审： 1、服务方案完整、计划安排科学、操作具体可行，满足本项目采购需求的得10分； 2、服务方案基本完整、计划安排较科学、操作具体基本可行，基本满足本项目采购需求的得6分； 3、服务方案不完整、计划安排不科学、操作具体不可行，无法满足本项目采购需求的得2分； 4、不提供不得分。</w:t>
            </w:r>
          </w:p>
        </w:tc>
      </w:tr>
      <w:tr>
        <w:tc>
          <w:tcPr>
            <w:tcW w:type="dxa" w:w="922"/>
            <w:gridSpan w:val="2"/>
            <w:vMerge/>
          </w:tcPr>
          <w:p/>
        </w:tc>
        <w:tc>
          <w:tcPr>
            <w:tcW w:type="dxa" w:w="2307"/>
          </w:tcPr>
          <w:p>
            <w:pPr>
              <w:jc w:val="left"/>
            </w:pPr>
            <w:r>
              <w:rPr/>
              <w:t>食品安全保证 (10.0分)</w:t>
            </w:r>
            <w:r>
              <w:rPr/>
              <w:t>，（等次分值选择：</w:t>
            </w:r>
            <w:r>
              <w:rPr/>
              <w:t>0.0;</w:t>
            </w:r>
            <w:r>
              <w:rPr/>
              <w:t>2.0;</w:t>
            </w:r>
            <w:r>
              <w:rPr/>
              <w:t>6.0;</w:t>
            </w:r>
            <w:r>
              <w:rPr/>
              <w:t>10.0;</w:t>
            </w:r>
            <w:r>
              <w:rPr/>
              <w:t>）</w:t>
            </w:r>
          </w:p>
        </w:tc>
        <w:tc>
          <w:tcPr>
            <w:tcW w:type="dxa" w:w="5076"/>
          </w:tcPr>
          <w:p>
            <w:pPr>
              <w:jc w:val="left"/>
            </w:pPr>
            <w:r>
              <w:rPr/>
              <w:t>根据响应供应商服务质量保证及食品安全措施进行评价： 1、服务质量保证及食品安全措施全面具体且合理，得10分； 2、服务质量保证及食品安全措施较为全面具体且有一定合理性，得6分； 3、服务质量保证及食品安全措施不够全面具体且合理性不足，得2分； 4、不提供不得分。</w:t>
            </w:r>
          </w:p>
        </w:tc>
      </w:tr>
      <w:tr>
        <w:tc>
          <w:tcPr>
            <w:tcW w:type="dxa" w:w="922"/>
            <w:gridSpan w:val="2"/>
            <w:vMerge/>
          </w:tcPr>
          <w:p/>
        </w:tc>
        <w:tc>
          <w:tcPr>
            <w:tcW w:type="dxa" w:w="2307"/>
          </w:tcPr>
          <w:p>
            <w:pPr>
              <w:jc w:val="left"/>
            </w:pPr>
            <w:r>
              <w:rPr/>
              <w:t>内控管理 (10.0分)</w:t>
            </w:r>
            <w:r>
              <w:rPr/>
              <w:t>，（等次分值选择：</w:t>
            </w:r>
            <w:r>
              <w:rPr/>
              <w:t>0.0;</w:t>
            </w:r>
            <w:r>
              <w:rPr/>
              <w:t>2.0;</w:t>
            </w:r>
            <w:r>
              <w:rPr/>
              <w:t>5.0;</w:t>
            </w:r>
            <w:r>
              <w:rPr/>
              <w:t>10.0;</w:t>
            </w:r>
            <w:r>
              <w:rPr/>
              <w:t>）</w:t>
            </w:r>
          </w:p>
        </w:tc>
        <w:tc>
          <w:tcPr>
            <w:tcW w:type="dxa" w:w="5076"/>
          </w:tcPr>
          <w:p>
            <w:pPr>
              <w:jc w:val="left"/>
            </w:pPr>
            <w:r>
              <w:rPr/>
              <w:t>根据响应供应商对本项目安全管理制度、人员、岗位、操作规程、劳动纪律和奖惩办法、管理制度方案进行评审： 1、内部管理制度全面科学、详细完整，能保障项目顺利进行的，得10分； 2、有基本内控管理制度，内容合理，得6分； 3、内控管理制度简约粗糙，说明笼统，得2分； 4、不提供不得分。</w:t>
            </w:r>
          </w:p>
        </w:tc>
      </w:tr>
      <w:tr>
        <w:tc>
          <w:tcPr>
            <w:tcW w:type="dxa" w:w="922"/>
            <w:gridSpan w:val="2"/>
            <w:vMerge/>
          </w:tcPr>
          <w:p/>
        </w:tc>
        <w:tc>
          <w:tcPr>
            <w:tcW w:type="dxa" w:w="2307"/>
          </w:tcPr>
          <w:p>
            <w:pPr>
              <w:jc w:val="left"/>
            </w:pPr>
            <w:r>
              <w:rPr/>
              <w:t>应急措施 (10.0分)</w:t>
            </w:r>
            <w:r>
              <w:rPr/>
              <w:t>，（等次分值选择：</w:t>
            </w:r>
            <w:r>
              <w:rPr/>
              <w:t>0.0;</w:t>
            </w:r>
            <w:r>
              <w:rPr/>
              <w:t>2.0;</w:t>
            </w:r>
            <w:r>
              <w:rPr/>
              <w:t>6.0;</w:t>
            </w:r>
            <w:r>
              <w:rPr/>
              <w:t>10.0;</w:t>
            </w:r>
            <w:r>
              <w:rPr/>
              <w:t>）</w:t>
            </w:r>
          </w:p>
        </w:tc>
        <w:tc>
          <w:tcPr>
            <w:tcW w:type="dxa" w:w="5076"/>
          </w:tcPr>
          <w:p>
            <w:pPr>
              <w:jc w:val="left"/>
            </w:pPr>
            <w:r>
              <w:rPr/>
              <w:t>根据响应供应商对本项目应急措施方案，以及突发事件处理方案评审： 1、有详细的应急服务预案，反应迅速，方案合理的得10分； 2、有基本应急措施方案，内容合理、反应较好，方案较合理的，得6分； 3、应急措施方案简约粗糙，说明笼统，得2分； 4、不提供不得分。</w:t>
            </w:r>
          </w:p>
        </w:tc>
      </w:tr>
      <w:tr>
        <w:tc>
          <w:tcPr>
            <w:tcW w:type="dxa" w:w="922"/>
            <w:gridSpan w:val="2"/>
            <w:vMerge/>
          </w:tcPr>
          <w:p/>
        </w:tc>
        <w:tc>
          <w:tcPr>
            <w:tcW w:type="dxa" w:w="2307"/>
          </w:tcPr>
          <w:p>
            <w:pPr>
              <w:jc w:val="left"/>
            </w:pPr>
            <w:r>
              <w:rPr/>
              <w:t>卫生服务措施 (10.0分)</w:t>
            </w:r>
            <w:r>
              <w:rPr/>
              <w:t>，（等次分值选择：</w:t>
            </w:r>
            <w:r>
              <w:rPr/>
              <w:t>0.0;</w:t>
            </w:r>
            <w:r>
              <w:rPr/>
              <w:t>2.0;</w:t>
            </w:r>
            <w:r>
              <w:rPr/>
              <w:t>6.0;</w:t>
            </w:r>
            <w:r>
              <w:rPr/>
              <w:t>10.0;</w:t>
            </w:r>
            <w:r>
              <w:rPr/>
              <w:t>）</w:t>
            </w:r>
          </w:p>
        </w:tc>
        <w:tc>
          <w:tcPr>
            <w:tcW w:type="dxa" w:w="5076"/>
          </w:tcPr>
          <w:p>
            <w:pPr>
              <w:jc w:val="left"/>
            </w:pPr>
            <w:r>
              <w:rPr/>
              <w:t>对各响应供应商保障项目的食堂环境卫生管理方案及措施（包括不限于用餐环境的卫生清洁及消毒方案、食品器皿的卫生清洁及消毒方案、餐厨垃圾、潲水、食材废料、纸皮等收集处理）进行评审： 1、方案合理、完整、针对性、可行性强，操作具体可行，得10分；  2、方案基本较合理，较完整，操作具体基本可行，得6分； 3、方案简单，内容没有针对性，简约粗糙，说明笼统，得2分； 4、不提供不得分。</w:t>
            </w:r>
          </w:p>
        </w:tc>
      </w:tr>
      <w:tr>
        <w:tc>
          <w:tcPr>
            <w:tcW w:type="dxa" w:w="922"/>
            <w:gridSpan w:val="2"/>
            <w:vMerge w:val="restart"/>
          </w:tcPr>
          <w:p>
            <w:pPr>
              <w:jc w:val="center"/>
            </w:pPr>
            <w:r>
              <w:rPr/>
              <w:t>商务部分</w:t>
            </w:r>
          </w:p>
        </w:tc>
        <w:tc>
          <w:tcPr>
            <w:tcW w:type="dxa" w:w="2307"/>
          </w:tcPr>
          <w:p>
            <w:pPr>
              <w:jc w:val="left"/>
            </w:pPr>
            <w:r>
              <w:rPr/>
              <w:t>同类项目业绩 (15.0分)</w:t>
            </w:r>
            <w:r>
              <w:rPr/>
              <w:t>，（等次分值选择：</w:t>
            </w:r>
            <w:r>
              <w:rPr/>
              <w:t>0.0;</w:t>
            </w:r>
            <w:r>
              <w:rPr/>
              <w:t>3.0;</w:t>
            </w:r>
            <w:r>
              <w:rPr/>
              <w:t>6.0;</w:t>
            </w:r>
            <w:r>
              <w:rPr/>
              <w:t>9.0;</w:t>
            </w:r>
            <w:r>
              <w:rPr/>
              <w:t>12.0;</w:t>
            </w:r>
            <w:r>
              <w:rPr/>
              <w:t>15.0;</w:t>
            </w:r>
            <w:r>
              <w:rPr/>
              <w:t>）</w:t>
            </w:r>
          </w:p>
        </w:tc>
        <w:tc>
          <w:tcPr>
            <w:tcW w:type="dxa" w:w="5076"/>
          </w:tcPr>
          <w:p>
            <w:pPr>
              <w:jc w:val="left"/>
            </w:pPr>
            <w:r>
              <w:rPr/>
              <w:t>响应供应商提供自2019年1月1日起以来（以合同签订时间为准）承接过同类业绩的，每提供一项得3分，本项最高得15分。 注：须提供合同扫描件（含签订合同双方的单位名称、合同项目名称、合同主要内容、签订合同双方的落款盖章页）作为同类业绩证明资料。不提供或资料不全不得分。</w:t>
            </w:r>
          </w:p>
        </w:tc>
      </w:tr>
      <w:tr>
        <w:tc>
          <w:tcPr>
            <w:tcW w:type="dxa" w:w="922"/>
            <w:gridSpan w:val="2"/>
            <w:vMerge/>
          </w:tcPr>
          <w:p/>
        </w:tc>
        <w:tc>
          <w:tcPr>
            <w:tcW w:type="dxa" w:w="2307"/>
          </w:tcPr>
          <w:p>
            <w:pPr>
              <w:jc w:val="left"/>
            </w:pPr>
            <w:r>
              <w:rPr/>
              <w:t>项目业绩评价 (5.0分)</w:t>
            </w:r>
            <w:r>
              <w:rPr/>
              <w:t>，（等次分值选择：</w:t>
            </w:r>
            <w:r>
              <w:rPr/>
              <w:t>0.0;</w:t>
            </w:r>
            <w:r>
              <w:rPr/>
              <w:t>1.0;</w:t>
            </w:r>
            <w:r>
              <w:rPr/>
              <w:t>2.0;</w:t>
            </w:r>
            <w:r>
              <w:rPr/>
              <w:t>3.0;</w:t>
            </w:r>
            <w:r>
              <w:rPr/>
              <w:t>4.0;</w:t>
            </w:r>
            <w:r>
              <w:rPr/>
              <w:t>5.0;</w:t>
            </w:r>
            <w:r>
              <w:rPr/>
              <w:t>）</w:t>
            </w:r>
          </w:p>
        </w:tc>
        <w:tc>
          <w:tcPr>
            <w:tcW w:type="dxa" w:w="5076"/>
          </w:tcPr>
          <w:p>
            <w:pPr>
              <w:jc w:val="left"/>
            </w:pPr>
            <w:r>
              <w:rPr/>
              <w:t>响应供应商针对上述得分业绩获得合同甲方给予的满意或优秀或大于等于90分等类似好评评价，每提供―项得1分，满分5分。注：提供合同甲方盖章的好评材料扫描件作为证明材料，不提供不得分。</w:t>
            </w:r>
          </w:p>
        </w:tc>
      </w:tr>
      <w:tr>
        <w:tc>
          <w:tcPr>
            <w:tcW w:type="dxa" w:w="922"/>
            <w:gridSpan w:val="2"/>
            <w:vMerge/>
          </w:tcPr>
          <w:p/>
        </w:tc>
        <w:tc>
          <w:tcPr>
            <w:tcW w:type="dxa" w:w="2307"/>
          </w:tcPr>
          <w:p>
            <w:pPr>
              <w:jc w:val="left"/>
            </w:pPr>
            <w:r>
              <w:rPr/>
              <w:t>拟投入人员 (5.0分)</w:t>
            </w:r>
          </w:p>
        </w:tc>
        <w:tc>
          <w:tcPr>
            <w:tcW w:type="dxa" w:w="5076"/>
          </w:tcPr>
          <w:p>
            <w:pPr>
              <w:jc w:val="left"/>
            </w:pPr>
            <w:r>
              <w:rPr/>
              <w:t>响应供应商拟投入团队人员中： 1、具有中级或以上厨师证的，每提供一名得1.5分，最高得3分； 2、具有营养师的，得2分。 同一人员不可重复计分。 注：须提供相关证书扫描件及在响应供应商单位的有效的任职证明（提供递交响应文件截止近6个月任意一个月缴纳社保证明）扫描件，不提供不得分。</w:t>
            </w:r>
          </w:p>
        </w:tc>
      </w:tr>
      <w:tr>
        <w:tc>
          <w:tcPr>
            <w:tcW w:type="dxa" w:w="922"/>
            <w:gridSpan w:val="2"/>
            <w:vMerge/>
          </w:tcPr>
          <w:p/>
        </w:tc>
        <w:tc>
          <w:tcPr>
            <w:tcW w:type="dxa" w:w="2307"/>
          </w:tcPr>
          <w:p>
            <w:pPr>
              <w:jc w:val="left"/>
            </w:pPr>
            <w:r>
              <w:rPr/>
              <w:t>应急服务便利性 (5.0分)</w:t>
            </w:r>
            <w:r>
              <w:rPr/>
              <w:t>，（等次分值选择：</w:t>
            </w:r>
            <w:r>
              <w:rPr/>
              <w:t>0.0;</w:t>
            </w:r>
            <w:r>
              <w:rPr/>
              <w:t>1.0;</w:t>
            </w:r>
            <w:r>
              <w:rPr/>
              <w:t>3.0;</w:t>
            </w:r>
            <w:r>
              <w:rPr/>
              <w:t>5.0;</w:t>
            </w:r>
            <w:r>
              <w:rPr/>
              <w:t>）</w:t>
            </w:r>
          </w:p>
        </w:tc>
        <w:tc>
          <w:tcPr>
            <w:tcW w:type="dxa" w:w="5076"/>
          </w:tcPr>
          <w:p>
            <w:pPr>
              <w:jc w:val="left"/>
            </w:pPr>
            <w:r>
              <w:rPr/>
              <w:t>根据各响应供应商服务机构便利性进行评分。响应供应商服务机构与采购人的办公地点（地址：佛山市禅城区圣安街9号）驾车距离在10公里（不含）以内的得5分，在10（含）~30（含）公里的得3分，在30公里（不含）以外的得1分。不提供不得分。  注：以第三方地图驾车模式的最短路程距离为准，提供服务机构的营业执照（服务机构为第三方合作机构的，还须提供合作合同/协议）或自有产权证明或租赁合同（并提供出租方产权证明材料）扫描件和服务机构详细地址到采购人办公地点的驾车模式第三方地图截图作为证明材料，不提供不得分。</w:t>
            </w:r>
          </w:p>
        </w:tc>
      </w:tr>
      <w:tr>
        <w:tc>
          <w:tcPr>
            <w:tcW w:type="dxa" w:w="922"/>
            <w:gridSpan w:val="2"/>
            <w:vMerge/>
          </w:tcPr>
          <w:p/>
        </w:tc>
        <w:tc>
          <w:tcPr>
            <w:tcW w:type="dxa" w:w="2307"/>
          </w:tcPr>
          <w:p>
            <w:pPr>
              <w:jc w:val="left"/>
            </w:pPr>
            <w:r>
              <w:rPr/>
              <w:t>安全保障 (10.0分)</w:t>
            </w:r>
            <w:r>
              <w:rPr/>
              <w:t>，（等次分值选择：</w:t>
            </w:r>
            <w:r>
              <w:rPr/>
              <w:t>0.0;</w:t>
            </w:r>
            <w:r>
              <w:rPr/>
              <w:t>5.0;</w:t>
            </w:r>
            <w:r>
              <w:rPr/>
              <w:t>10.0;</w:t>
            </w:r>
            <w:r>
              <w:rPr/>
              <w:t>）</w:t>
            </w:r>
          </w:p>
        </w:tc>
        <w:tc>
          <w:tcPr>
            <w:tcW w:type="dxa" w:w="5076"/>
          </w:tcPr>
          <w:p>
            <w:pPr>
              <w:jc w:val="left"/>
            </w:pPr>
            <w:r>
              <w:rPr/>
              <w:t>（1）响应供应商有购买食品安全责任险且处于有效期内的，得5分。 （2）响应供应商有购买公众责任险且处于有效期内的，得5分。 注：须提供购买发票和保险单扫描件作为证明材料，不提供不得分。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备注：1、因落实政府采购政策进行价格调整的，以调整后的价格计算投 标报价得分。  2、投标报价得分四舍五入后，小数点后保留两位有效数。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sz w:val="68"/>
        </w:rPr>
        <w:t>佛山市政府采购项目</w:t>
      </w:r>
    </w:p>
    <w:p>
      <w:pPr>
        <w:jc w:val="center"/>
      </w:pPr>
      <w:r>
        <w:rPr/>
        <w:t xml:space="preserve"> </w:t>
      </w:r>
    </w:p>
    <w:p>
      <w:pPr>
        <w:jc w:val="center"/>
      </w:pPr>
      <w:r>
        <w:rPr/>
        <w:t xml:space="preserve"> </w:t>
      </w:r>
    </w:p>
    <w:p>
      <w:pPr>
        <w:jc w:val="center"/>
      </w:pPr>
    </w:p>
    <w:p>
      <w:pPr>
        <w:jc w:val="center"/>
      </w:pPr>
      <w:r>
        <w:rPr>
          <w:sz w:val="68"/>
        </w:rPr>
        <w:t>合</w:t>
      </w:r>
      <w:r>
        <w:rPr>
          <w:sz w:val="68"/>
        </w:rPr>
        <w:t>同</w:t>
      </w:r>
      <w:r>
        <w:rPr>
          <w:sz w:val="68"/>
        </w:rPr>
        <w:t>书</w:t>
      </w:r>
    </w:p>
    <w:p>
      <w:pPr>
        <w:jc w:val="center"/>
      </w:pPr>
      <w:r>
        <w:rPr/>
        <w:t xml:space="preserve"> </w:t>
      </w:r>
    </w:p>
    <w:p>
      <w:pPr>
        <w:jc w:val="center"/>
      </w:pPr>
      <w:r>
        <w:rPr/>
        <w:t xml:space="preserve"> </w:t>
      </w:r>
    </w:p>
    <w:p>
      <w:pPr>
        <w:jc w:val="center"/>
      </w:pPr>
    </w:p>
    <w:p>
      <w:pPr>
        <w:jc w:val="center"/>
      </w:pPr>
    </w:p>
    <w:p>
      <w:pPr>
        <w:jc w:val="center"/>
      </w:pPr>
    </w:p>
    <w:p>
      <w:pPr>
        <w:jc w:val="center"/>
      </w:pPr>
    </w:p>
    <w:p>
      <w:pPr>
        <w:ind w:firstLine="2409"/>
      </w:pPr>
      <w:r>
        <w:rPr>
          <w:b/>
          <w:sz w:val="24"/>
        </w:rPr>
        <w:t>项目编号：</w:t>
      </w:r>
      <w:r>
        <w:rPr>
          <w:b/>
          <w:u w:val="single"/>
        </w:rPr>
        <w:t xml:space="preserve">                   </w:t>
      </w:r>
    </w:p>
    <w:p>
      <w:pPr>
        <w:ind w:firstLine="2409"/>
      </w:pPr>
      <w:r>
        <w:rPr>
          <w:b/>
          <w:sz w:val="24"/>
        </w:rPr>
        <w:t>项目名称：</w:t>
      </w:r>
      <w:r>
        <w:rPr>
          <w:b/>
          <w:u w:val="single"/>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采购人名称</w:t>
            </w:r>
            <w:r>
              <w:rPr>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r>
        <w:rPr/>
        <w:t xml:space="preserve"> </w:t>
      </w:r>
    </w:p>
    <w:p>
      <w:r>
        <w:rPr/>
        <w:t xml:space="preserve"> </w:t>
      </w:r>
    </w:p>
    <w:p>
      <w:r>
        <w:rPr/>
        <w:t xml:space="preserve"> </w:t>
      </w:r>
    </w:p>
    <w:p>
      <w:pPr>
        <w:jc w:val="center"/>
      </w:pPr>
    </w:p>
    <w:p>
      <w:pPr>
        <w:jc w:val="center"/>
      </w:pPr>
    </w:p>
    <w:p>
      <w:pPr>
        <w:jc w:val="center"/>
      </w:pPr>
    </w:p>
    <w:p>
      <w:pPr>
        <w:jc w:val="center"/>
      </w:pPr>
    </w:p>
    <w:p>
      <w:pPr>
        <w:jc w:val="center"/>
      </w:pPr>
      <w:r>
        <w:rPr>
          <w:b/>
          <w:sz w:val="44"/>
        </w:rPr>
        <w:t>佛山市政府采购项目合同书</w:t>
      </w:r>
    </w:p>
    <w:p>
      <w:pPr>
        <w:jc w:val="center"/>
      </w:pPr>
      <w:r>
        <w:rPr/>
        <w:t xml:space="preserve"> </w:t>
      </w:r>
    </w:p>
    <w:p>
      <w:pPr>
        <w:jc w:val="center"/>
      </w:pPr>
      <w:r>
        <w:rPr/>
        <w:t xml:space="preserve"> </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甲</w:t>
            </w:r>
            <w:r>
              <w:rPr>
                <w:b/>
                <w:sz w:val="21"/>
              </w:rPr>
              <w:t xml:space="preserve">   </w:t>
            </w:r>
            <w:r>
              <w:rPr>
                <w:b/>
                <w:sz w:val="21"/>
              </w:rPr>
              <w:t>方：</w:t>
            </w:r>
          </w:p>
        </w:tc>
        <w:tc>
          <w:tcPr>
            <w:tcW w:type="dxa" w:w="6671"/>
            <w:tcBorders>
              <w:top w:val="none" w:color="000000" w:sz="4"/>
              <w:left w:val="none" w:color="000000" w:sz="4"/>
              <w:bottom w:val="none" w:color="000000" w:sz="4"/>
              <w:right w:val="none" w:color="000000" w:sz="4"/>
            </w:tcBorders>
            <w:vAlign w:val="top"/>
          </w:tcPr>
          <w:p>
            <w:r>
              <w:rPr>
                <w:sz w:val="21"/>
                <w:u w:val="single"/>
              </w:rPr>
              <w:t xml:space="preserve">  </w:t>
            </w:r>
            <w:r>
              <w:rPr>
                <w:sz w:val="21"/>
                <w:u w:val="single"/>
              </w:rPr>
              <w:t>（采购人名称）</w:t>
            </w:r>
            <w:r>
              <w:rPr>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1"/>
              </w:rPr>
              <w:t>乙</w:t>
            </w:r>
            <w:r>
              <w:rPr>
                <w:b/>
                <w:sz w:val="21"/>
              </w:rPr>
              <w:t xml:space="preserve">   </w:t>
            </w:r>
            <w:r>
              <w:rPr>
                <w:b/>
                <w:sz w:val="21"/>
              </w:rPr>
              <w:t>方：</w:t>
            </w:r>
          </w:p>
        </w:tc>
        <w:tc>
          <w:tcPr>
            <w:tcW w:type="dxa" w:w="6671"/>
            <w:tcBorders>
              <w:top w:val="none" w:color="000000" w:sz="4"/>
              <w:left w:val="none" w:color="000000" w:sz="4"/>
              <w:bottom w:val="none" w:color="000000" w:sz="4"/>
              <w:right w:val="none" w:color="000000" w:sz="4"/>
            </w:tcBorders>
            <w:vAlign w:val="top"/>
          </w:tcPr>
          <w:p>
            <w:r>
              <w:rPr>
                <w:sz w:val="21"/>
                <w:u w:val="single"/>
              </w:rPr>
              <w:t>（中标</w:t>
            </w:r>
            <w:r>
              <w:rPr>
                <w:sz w:val="21"/>
                <w:u w:val="single"/>
              </w:rPr>
              <w:t xml:space="preserve">/成交供应商）                                 </w:t>
            </w:r>
          </w:p>
        </w:tc>
      </w:tr>
    </w:tbl>
    <w:p/>
    <w:p>
      <w:pPr>
        <w:ind w:firstLine="420"/>
      </w:pPr>
      <w:r>
        <w:rPr>
          <w:sz w:val="21"/>
        </w:rPr>
        <w:t>根据《中华人民共和国政府采购法》</w:t>
      </w:r>
      <w:r>
        <w:rPr>
          <w:sz w:val="21"/>
        </w:rPr>
        <w:t>、</w:t>
      </w:r>
      <w:r>
        <w:rPr>
          <w:sz w:val="21"/>
        </w:rPr>
        <w:t>《中华人民共和国民法典》和本项目</w:t>
      </w:r>
      <w:r>
        <w:rPr>
          <w:sz w:val="21"/>
        </w:rPr>
        <w:t>竞争性磋商文件</w:t>
      </w:r>
      <w:r>
        <w:rPr>
          <w:sz w:val="21"/>
        </w:rPr>
        <w:t>的要求，</w:t>
      </w:r>
      <w:r>
        <w:rPr>
          <w:sz w:val="21"/>
        </w:rPr>
        <w:t>经双方协商，</w:t>
      </w:r>
      <w:r>
        <w:rPr>
          <w:sz w:val="21"/>
        </w:rPr>
        <w:t>本着平等互利和诚实信用的原则，</w:t>
      </w:r>
      <w:r>
        <w:rPr>
          <w:sz w:val="21"/>
        </w:rPr>
        <w:t>一致同意签订本合同如下。</w:t>
      </w:r>
    </w:p>
    <w:p>
      <w:r>
        <w:rPr>
          <w:b/>
          <w:sz w:val="21"/>
        </w:rPr>
        <w:t>一、</w:t>
      </w:r>
      <w:r>
        <w:rPr>
          <w:b/>
          <w:sz w:val="21"/>
        </w:rPr>
        <w:t>项目主要内容及实现功能目标：</w:t>
      </w:r>
    </w:p>
    <w:p>
      <w:pPr>
        <w:ind w:firstLine="420"/>
      </w:pPr>
      <w:r>
        <w:rPr>
          <w:sz w:val="21"/>
        </w:rPr>
        <w:t>（按照</w:t>
      </w:r>
      <w:r>
        <w:rPr>
          <w:sz w:val="21"/>
        </w:rPr>
        <w:t>竞争性磋商文件</w:t>
      </w:r>
      <w:r>
        <w:rPr>
          <w:sz w:val="21"/>
        </w:rPr>
        <w:t>和投标</w:t>
      </w:r>
      <w:r>
        <w:rPr>
          <w:sz w:val="21"/>
        </w:rPr>
        <w:t>/响应文件执行）</w:t>
      </w:r>
    </w:p>
    <w:p>
      <w:r>
        <w:rPr>
          <w:b/>
          <w:sz w:val="21"/>
        </w:rPr>
        <w:t>二、</w:t>
      </w:r>
      <w:r>
        <w:rPr>
          <w:b/>
          <w:sz w:val="21"/>
        </w:rPr>
        <w:t>产品及服务供应清单：</w:t>
      </w:r>
      <w:r>
        <w:rPr>
          <w:sz w:val="21"/>
        </w:rPr>
        <w:t>见附件一</w:t>
      </w:r>
      <w:r>
        <w:rPr>
          <w:sz w:val="21"/>
        </w:rPr>
        <w:t>《报价清单明细表》。</w:t>
      </w:r>
    </w:p>
    <w:p>
      <w:r>
        <w:rPr>
          <w:b/>
          <w:sz w:val="21"/>
        </w:rPr>
        <w:t>三、</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8"/>
        <w:gridCol w:w="1435"/>
        <w:gridCol w:w="6187"/>
      </w:tblGrid>
      <w:tr>
        <w:tc>
          <w:tcPr>
            <w:tcW w:type="dxa" w:w="6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3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87"/>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35"/>
            <w:tcBorders>
              <w:top w:val="none" w:color="000000" w:sz="4"/>
              <w:left w:val="none" w:color="000000" w:sz="4"/>
              <w:bottom w:val="single" w:color="000000" w:sz="4"/>
              <w:right w:val="single" w:color="000000" w:sz="4"/>
            </w:tcBorders>
            <w:vAlign w:val="top"/>
          </w:tcPr>
          <w:p>
            <w:pPr>
              <w:jc w:val="center"/>
            </w:pPr>
            <w:r>
              <w:rPr>
                <w:sz w:val="21"/>
              </w:rPr>
              <w:t>折扣率</w:t>
            </w:r>
          </w:p>
        </w:tc>
        <w:tc>
          <w:tcPr>
            <w:tcW w:type="dxa" w:w="6187"/>
            <w:tcBorders>
              <w:top w:val="none" w:color="000000" w:sz="4"/>
              <w:left w:val="none" w:color="000000" w:sz="4"/>
              <w:bottom w:val="single" w:color="000000" w:sz="4"/>
              <w:right w:val="single" w:color="000000" w:sz="4"/>
            </w:tcBorders>
            <w:vAlign w:val="top"/>
          </w:tcPr>
          <w:p>
            <w:r>
              <w:rPr>
                <w:sz w:val="21"/>
              </w:rPr>
              <w:t>折扣率：</w:t>
            </w:r>
            <w:r>
              <w:rPr>
                <w:sz w:val="21"/>
              </w:rPr>
              <w:t xml:space="preserve">       </w:t>
            </w:r>
            <w:r>
              <w:rPr>
                <w:sz w:val="21"/>
              </w:rPr>
              <w:t>；</w:t>
            </w:r>
          </w:p>
          <w:p>
            <w:r>
              <w:rPr>
                <w:sz w:val="21"/>
              </w:rPr>
              <w:t>大写：</w:t>
            </w:r>
            <w:r>
              <w:rPr>
                <w:sz w:val="19"/>
                <w:u w:val="single"/>
              </w:rPr>
              <w:t xml:space="preserve">                          </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87"/>
            <w:tcBorders>
              <w:top w:val="none" w:color="000000" w:sz="4"/>
              <w:left w:val="none" w:color="000000" w:sz="4"/>
              <w:bottom w:val="single" w:color="000000" w:sz="4"/>
              <w:right w:val="single" w:color="000000" w:sz="4"/>
            </w:tcBorders>
            <w:vAlign w:val="top"/>
          </w:tcPr>
          <w:p>
            <w:r>
              <w:rPr>
                <w:sz w:val="21"/>
              </w:rPr>
              <w:t>（</w:t>
            </w:r>
            <w:r>
              <w:rPr>
                <w:sz w:val="21"/>
              </w:rPr>
              <w:t>1）</w:t>
            </w:r>
            <w:r>
              <w:rPr>
                <w:sz w:val="21"/>
              </w:rPr>
              <w:t>合同总额包括</w:t>
            </w:r>
            <w:r>
              <w:rPr>
                <w:sz w:val="21"/>
              </w:rPr>
              <w:t>但不限于以下费用：经营食堂过程中所产生的一切费用，如：食材采购、运输、食堂其他消耗费、食堂人员费用、通讯费、员工体检费、管理费用、</w:t>
            </w:r>
            <w:r>
              <w:rPr>
                <w:sz w:val="21"/>
              </w:rPr>
              <w:t>水</w:t>
            </w:r>
            <w:r>
              <w:rPr>
                <w:sz w:val="21"/>
              </w:rPr>
              <w:t>费</w:t>
            </w:r>
            <w:r>
              <w:rPr>
                <w:sz w:val="21"/>
              </w:rPr>
              <w:t>、电</w:t>
            </w:r>
            <w:r>
              <w:rPr>
                <w:sz w:val="21"/>
              </w:rPr>
              <w:t>费</w:t>
            </w:r>
            <w:r>
              <w:rPr>
                <w:sz w:val="21"/>
              </w:rPr>
              <w:t>、燃气</w:t>
            </w:r>
            <w:r>
              <w:rPr>
                <w:sz w:val="21"/>
              </w:rPr>
              <w:t>费以及项目实施过程中其它应预见和不可预见费用等完成本采购项目、达到采购人目的的一切费用及企业利润。</w:t>
            </w:r>
          </w:p>
          <w:p>
            <w:r>
              <w:rPr>
                <w:sz w:val="21"/>
              </w:rPr>
              <w:t>（</w:t>
            </w:r>
            <w:r>
              <w:rPr>
                <w:sz w:val="21"/>
              </w:rPr>
              <w:t>2</w:t>
            </w:r>
            <w:r>
              <w:rPr>
                <w:sz w:val="21"/>
              </w:rPr>
              <w:t>）</w:t>
            </w:r>
            <w:r>
              <w:rPr>
                <w:sz w:val="21"/>
              </w:rPr>
              <w:t>价格为固定不变价，天数为公历日。</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187"/>
            <w:tcBorders>
              <w:top w:val="none" w:color="000000" w:sz="4"/>
              <w:left w:val="none" w:color="000000" w:sz="4"/>
              <w:bottom w:val="single" w:color="000000" w:sz="4"/>
              <w:right w:val="single" w:color="000000" w:sz="4"/>
            </w:tcBorders>
            <w:vAlign w:val="top"/>
          </w:tcPr>
          <w:p>
            <w:pPr>
              <w:jc w:val="left"/>
            </w:pPr>
            <w:r>
              <w:rPr>
                <w:sz w:val="21"/>
              </w:rPr>
              <w:t>甲方（用户）指定地点。详细地址为：</w:t>
            </w:r>
            <w:r>
              <w:rPr>
                <w:sz w:val="21"/>
              </w:rPr>
              <w:t>佛山市精神病治疗所</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187"/>
            <w:tcBorders>
              <w:top w:val="none" w:color="000000" w:sz="4"/>
              <w:left w:val="none" w:color="000000" w:sz="4"/>
              <w:bottom w:val="single" w:color="000000" w:sz="4"/>
              <w:right w:val="single" w:color="000000" w:sz="4"/>
            </w:tcBorders>
            <w:vAlign w:val="top"/>
          </w:tcPr>
          <w:p>
            <w:pPr>
              <w:jc w:val="left"/>
            </w:pPr>
            <w:r>
              <w:rPr>
                <w:sz w:val="21"/>
              </w:rPr>
              <w:t>自合同签订之日起一年</w:t>
            </w:r>
            <w:r>
              <w:rPr>
                <w:sz w:val="21"/>
              </w:rPr>
              <w:t>。</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187"/>
            <w:tcBorders>
              <w:top w:val="none" w:color="000000" w:sz="4"/>
              <w:left w:val="none" w:color="000000" w:sz="4"/>
              <w:bottom w:val="single" w:color="000000" w:sz="4"/>
              <w:right w:val="single" w:color="000000" w:sz="4"/>
            </w:tcBorders>
            <w:vAlign w:val="top"/>
          </w:tcPr>
          <w:p>
            <w:r>
              <w:rPr>
                <w:sz w:val="21"/>
              </w:rPr>
              <w:t>一次性签订本项目采购合同。</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87"/>
            <w:tcBorders>
              <w:top w:val="none" w:color="000000" w:sz="4"/>
              <w:left w:val="none" w:color="000000" w:sz="4"/>
              <w:bottom w:val="single" w:color="000000" w:sz="4"/>
              <w:right w:val="single" w:color="000000" w:sz="4"/>
            </w:tcBorders>
            <w:vAlign w:val="top"/>
          </w:tcPr>
          <w:p>
            <w:pPr>
              <w:ind w:firstLine="420"/>
            </w:pPr>
            <w:r>
              <w:rPr>
                <w:sz w:val="21"/>
              </w:rPr>
              <w:t>由</w:t>
            </w:r>
            <w:r>
              <w:rPr>
                <w:sz w:val="21"/>
              </w:rPr>
              <w:t>甲方</w:t>
            </w:r>
            <w:r>
              <w:rPr>
                <w:sz w:val="21"/>
              </w:rPr>
              <w:t>按下列程序付款：</w:t>
            </w:r>
            <w:r>
              <w:rPr>
                <w:sz w:val="21"/>
              </w:rPr>
              <w:t xml:space="preserve"> </w:t>
            </w:r>
          </w:p>
          <w:p>
            <w:r>
              <w:rPr>
                <w:sz w:val="21"/>
              </w:rPr>
              <w:t>1</w:t>
            </w:r>
            <w:r>
              <w:rPr>
                <w:sz w:val="21"/>
              </w:rPr>
              <w:t>.</w:t>
            </w:r>
            <w:r>
              <w:rPr>
                <w:sz w:val="21"/>
              </w:rPr>
              <w:t>餐饮服务费用每月按实际用餐人数</w:t>
            </w:r>
            <w:r>
              <w:rPr>
                <w:sz w:val="21"/>
              </w:rPr>
              <w:t>与成交折扣率进行</w:t>
            </w:r>
            <w:r>
              <w:rPr>
                <w:sz w:val="21"/>
              </w:rPr>
              <w:t>结算</w:t>
            </w:r>
            <w:r>
              <w:rPr>
                <w:sz w:val="21"/>
              </w:rPr>
              <w:t>；</w:t>
            </w:r>
          </w:p>
          <w:p>
            <w:r>
              <w:rPr>
                <w:sz w:val="21"/>
              </w:rPr>
              <w:t>2</w:t>
            </w:r>
            <w:r>
              <w:rPr>
                <w:sz w:val="21"/>
              </w:rPr>
              <w:t>.</w:t>
            </w:r>
            <w:r>
              <w:rPr>
                <w:sz w:val="21"/>
              </w:rPr>
              <w:t>每</w:t>
            </w:r>
            <w:r>
              <w:rPr>
                <w:sz w:val="21"/>
              </w:rPr>
              <w:t>月</w:t>
            </w:r>
            <w:r>
              <w:rPr>
                <w:sz w:val="21"/>
              </w:rPr>
              <w:t>10日</w:t>
            </w:r>
            <w:r>
              <w:rPr>
                <w:sz w:val="21"/>
              </w:rPr>
              <w:t>前</w:t>
            </w:r>
            <w:r>
              <w:rPr>
                <w:sz w:val="21"/>
              </w:rPr>
              <w:t>支付上月的</w:t>
            </w:r>
            <w:r>
              <w:rPr>
                <w:sz w:val="21"/>
              </w:rPr>
              <w:t>用餐</w:t>
            </w:r>
            <w:r>
              <w:rPr>
                <w:sz w:val="21"/>
              </w:rPr>
              <w:t>费用</w:t>
            </w:r>
            <w:r>
              <w:rPr>
                <w:sz w:val="21"/>
              </w:rPr>
              <w:t>；</w:t>
            </w:r>
          </w:p>
          <w:p>
            <w:r>
              <w:rPr>
                <w:sz w:val="21"/>
              </w:rPr>
              <w:t>3.本项目最高总结算金额不超过2077968.00元；当实际结算金额达到人民币2,077,968.00元或服务期结束之日起，本项目停止服务，同时终止合同。</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87"/>
            <w:tcBorders>
              <w:top w:val="none" w:color="000000" w:sz="4"/>
              <w:left w:val="none" w:color="000000" w:sz="4"/>
              <w:bottom w:val="single" w:color="000000" w:sz="4"/>
              <w:right w:val="single" w:color="000000" w:sz="4"/>
            </w:tcBorders>
            <w:vAlign w:val="top"/>
          </w:tcPr>
          <w:p>
            <w:pPr>
              <w:jc w:val="left"/>
            </w:pPr>
            <w:r>
              <w:rPr>
                <w:sz w:val="21"/>
              </w:rPr>
              <w:t>乙方</w:t>
            </w:r>
            <w:r>
              <w:rPr>
                <w:sz w:val="21"/>
              </w:rPr>
              <w:t>凭以下有效文件与</w:t>
            </w:r>
            <w:r>
              <w:rPr>
                <w:sz w:val="21"/>
              </w:rPr>
              <w:t>甲方</w:t>
            </w:r>
            <w:r>
              <w:rPr>
                <w:sz w:val="21"/>
              </w:rPr>
              <w:t>结算：</w:t>
            </w:r>
          </w:p>
          <w:p>
            <w:pPr>
              <w:jc w:val="left"/>
            </w:pPr>
            <w:r>
              <w:rPr>
                <w:sz w:val="21"/>
              </w:rPr>
              <w:t>（</w:t>
            </w:r>
            <w:r>
              <w:rPr>
                <w:sz w:val="21"/>
              </w:rPr>
              <w:t>1）合同；</w:t>
            </w:r>
          </w:p>
          <w:p>
            <w:pPr>
              <w:jc w:val="left"/>
            </w:pPr>
            <w:r>
              <w:rPr>
                <w:sz w:val="21"/>
              </w:rPr>
              <w:t>（</w:t>
            </w:r>
            <w:r>
              <w:rPr>
                <w:sz w:val="21"/>
              </w:rPr>
              <w:t>2）</w:t>
            </w:r>
            <w:r>
              <w:rPr>
                <w:sz w:val="21"/>
              </w:rPr>
              <w:t>乙方</w:t>
            </w:r>
            <w:r>
              <w:rPr>
                <w:sz w:val="21"/>
              </w:rPr>
              <w:t>开具的正式发票；</w:t>
            </w:r>
          </w:p>
          <w:p>
            <w:pPr>
              <w:jc w:val="left"/>
            </w:pPr>
            <w:r>
              <w:rPr>
                <w:sz w:val="21"/>
              </w:rPr>
              <w:t>（</w:t>
            </w:r>
            <w:r>
              <w:rPr>
                <w:sz w:val="21"/>
              </w:rPr>
              <w:t>3）成交通知书。</w:t>
            </w:r>
          </w:p>
          <w:p>
            <w:pPr>
              <w:jc w:val="left"/>
            </w:pPr>
            <w:r>
              <w:rPr>
                <w:sz w:val="21"/>
              </w:rPr>
              <w:t>乙方</w:t>
            </w:r>
            <w:r>
              <w:rPr>
                <w:sz w:val="21"/>
              </w:rPr>
              <w:t>收款时必须持有效发票与</w:t>
            </w:r>
            <w:r>
              <w:rPr>
                <w:sz w:val="21"/>
              </w:rPr>
              <w:t>甲方</w:t>
            </w:r>
            <w:r>
              <w:rPr>
                <w:sz w:val="21"/>
              </w:rPr>
              <w:t>结算。收款方、出具发票方、合同乙方均必须与成交供应商名称一致。</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87"/>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提交时间：自合同生效之日起</w:t>
            </w:r>
            <w:r>
              <w:rPr>
                <w:sz w:val="21"/>
              </w:rPr>
              <w:t>3日内。2</w:t>
            </w:r>
            <w:r>
              <w:rPr>
                <w:sz w:val="21"/>
              </w:rPr>
              <w:t>.</w:t>
            </w:r>
            <w:r>
              <w:rPr>
                <w:sz w:val="21"/>
              </w:rPr>
              <w:t>金额：</w:t>
            </w:r>
            <w:r>
              <w:rPr>
                <w:sz w:val="21"/>
              </w:rPr>
              <w:t>人民币50,000.00元整</w:t>
            </w:r>
            <w:r>
              <w:rPr>
                <w:sz w:val="21"/>
              </w:rPr>
              <w:t>。3</w:t>
            </w:r>
            <w:r>
              <w:rPr>
                <w:sz w:val="21"/>
              </w:rPr>
              <w:t>.</w:t>
            </w:r>
            <w:r>
              <w:rPr>
                <w:sz w:val="21"/>
              </w:rPr>
              <w:t>方式：转账、支票、汇票、本票或者金融机构、担保机构出具的保函等非现金形式提交。</w:t>
            </w:r>
            <w:r>
              <w:rPr>
                <w:sz w:val="21"/>
              </w:rPr>
              <w:t>4</w:t>
            </w:r>
            <w:r>
              <w:rPr>
                <w:sz w:val="21"/>
              </w:rPr>
              <w:t>.</w:t>
            </w:r>
            <w:r>
              <w:rPr>
                <w:sz w:val="21"/>
              </w:rPr>
              <w:t>履约保证金待</w:t>
            </w:r>
            <w:r>
              <w:rPr>
                <w:sz w:val="21"/>
              </w:rPr>
              <w:t>合同</w:t>
            </w:r>
            <w:r>
              <w:rPr>
                <w:sz w:val="21"/>
              </w:rPr>
              <w:t>期满后，</w:t>
            </w:r>
            <w:r>
              <w:rPr>
                <w:sz w:val="21"/>
              </w:rPr>
              <w:t>甲方</w:t>
            </w:r>
            <w:r>
              <w:rPr>
                <w:sz w:val="21"/>
              </w:rPr>
              <w:t>将无息退还履约保证金。5.违约补偿赔偿责任：逾期退还履约保证金的，甲方应按合同约定对乙方受到的损失予以补偿或赔偿。</w:t>
            </w:r>
          </w:p>
        </w:tc>
      </w:tr>
    </w:tbl>
    <w:p>
      <w:r>
        <w:rPr>
          <w:b/>
          <w:sz w:val="21"/>
        </w:rPr>
        <w:t>四、</w:t>
      </w:r>
      <w:r>
        <w:rPr>
          <w:b/>
          <w:sz w:val="21"/>
        </w:rPr>
        <w:t>甲方用餐人数、标准及用餐时间</w:t>
      </w:r>
    </w:p>
    <w:p>
      <w:pPr>
        <w:jc w:val="left"/>
      </w:pPr>
      <w:r>
        <w:rPr>
          <w:sz w:val="21"/>
        </w:rPr>
        <w:t>1.托养人员每天用餐人数约188人；餐费标准：每人每天人民币25元。</w:t>
      </w:r>
    </w:p>
    <w:p>
      <w:pPr>
        <w:jc w:val="left"/>
      </w:pPr>
      <w:r>
        <w:rPr>
          <w:sz w:val="21"/>
        </w:rPr>
        <w:t>2.</w:t>
      </w:r>
      <w:r>
        <w:rPr>
          <w:sz w:val="21"/>
        </w:rPr>
        <w:t>甲方</w:t>
      </w:r>
      <w:r>
        <w:rPr>
          <w:sz w:val="21"/>
        </w:rPr>
        <w:t>工作人员每天用餐人数约</w:t>
      </w:r>
      <w:r>
        <w:rPr>
          <w:sz w:val="21"/>
        </w:rPr>
        <w:t>43人；餐费标准：每人每天人民币28元(另：</w:t>
      </w:r>
      <w:r>
        <w:rPr>
          <w:sz w:val="21"/>
        </w:rPr>
        <w:t>职工</w:t>
      </w:r>
      <w:r>
        <w:rPr>
          <w:sz w:val="21"/>
        </w:rPr>
        <w:t>个人自费</w:t>
      </w:r>
      <w:r>
        <w:rPr>
          <w:sz w:val="21"/>
        </w:rPr>
        <w:t>2元/餐)。</w:t>
      </w:r>
    </w:p>
    <w:p>
      <w:pPr>
        <w:jc w:val="left"/>
      </w:pPr>
      <w:r>
        <w:rPr>
          <w:sz w:val="21"/>
        </w:rPr>
        <w:t>3.托养人员餐标（在项目服务过程中，甲方可根据实际情况进行调整，但每人每天的总餐费标准不变）：早餐人民币5元/餐/人，除正常供应外，早餐还须供应每人不少于一个鸡蛋；中、晚餐人民币各10元/餐/人，提供1主荤1副荤1素菜，1份例汤，米饭吃饱。每人每日采购生肉量不少于250克。</w:t>
      </w:r>
    </w:p>
    <w:p>
      <w:pPr>
        <w:jc w:val="left"/>
      </w:pPr>
      <w:r>
        <w:rPr>
          <w:sz w:val="21"/>
        </w:rPr>
        <w:t>4.</w:t>
      </w:r>
      <w:r>
        <w:rPr>
          <w:sz w:val="21"/>
        </w:rPr>
        <w:t>甲方</w:t>
      </w:r>
      <w:r>
        <w:rPr>
          <w:sz w:val="21"/>
        </w:rPr>
        <w:t>工作人员餐标（在项目服务过程中，甲方可根据实际情况进行调整，但每人每天的总餐费标准不变）：早餐人民币</w:t>
      </w:r>
      <w:r>
        <w:rPr>
          <w:sz w:val="21"/>
        </w:rPr>
        <w:t>8元/餐/人，中餐人民币16元/餐/人、晚餐人民币10元/餐/人；早餐提供多样化选择﹔中、晚餐提供1主荤2副荤1素菜，1份例汤，米饭吃饱，中餐提供相应的水果或者纯牛奶。</w:t>
      </w:r>
    </w:p>
    <w:p>
      <w:pPr>
        <w:jc w:val="left"/>
      </w:pPr>
      <w:r>
        <w:rPr>
          <w:sz w:val="21"/>
        </w:rPr>
        <w:t>5.早餐供应：炒米粉、炒河粉、炒面、汤河粉、汤米粉、汤面、白粥、绿豆粥、小米粥、豆浆、牛奶、包子、馒头、油条、面包、糕点、红薯、玉米、各式点心、鸡蛋等。中、晚餐每餐提供不得少于5个菜谱（菜式）品种，每人每日肉类总量不少于200克。</w:t>
      </w:r>
    </w:p>
    <w:p>
      <w:pPr>
        <w:jc w:val="left"/>
      </w:pPr>
      <w:r>
        <w:rPr>
          <w:sz w:val="21"/>
        </w:rPr>
        <w:t>6.用餐人员数量为暂估数量，每天用餐人数以实际发生为准。</w:t>
      </w:r>
    </w:p>
    <w:p>
      <w:pPr>
        <w:jc w:val="left"/>
      </w:pPr>
      <w:r>
        <w:rPr>
          <w:sz w:val="21"/>
        </w:rPr>
        <w:t>7.用餐时间</w:t>
      </w:r>
    </w:p>
    <w:p>
      <w:pPr>
        <w:jc w:val="left"/>
      </w:pPr>
      <w:r>
        <w:rPr>
          <w:sz w:val="21"/>
        </w:rPr>
        <w:t>(1)托养人员用餐时间：早餐：07：00-07：30，午餐：10：30-11：00，晚餐：16：30-17：00。</w:t>
      </w:r>
    </w:p>
    <w:p>
      <w:pPr>
        <w:jc w:val="left"/>
      </w:pPr>
      <w:r>
        <w:rPr>
          <w:sz w:val="21"/>
        </w:rPr>
        <w:t>(2）甲方工作人员用餐时间：早餐：07：00-08：00，午餐：11：15-12：30，晚餐：17：15-18：00。</w:t>
      </w:r>
    </w:p>
    <w:p>
      <w:r>
        <w:rPr>
          <w:b/>
          <w:sz w:val="21"/>
        </w:rPr>
        <w:t>五、</w:t>
      </w:r>
      <w:r>
        <w:rPr>
          <w:b/>
          <w:sz w:val="21"/>
        </w:rPr>
        <w:t>乙方提供服务内容：</w:t>
      </w:r>
    </w:p>
    <w:p>
      <w:pPr>
        <w:jc w:val="left"/>
      </w:pPr>
      <w:r>
        <w:rPr>
          <w:sz w:val="21"/>
        </w:rPr>
        <w:t>1.负责食材、佐料的采购，所有食材需符合《中华人民共和国食品安全法》要求，符合国家有关标准并按要求进行公示，保证食材的安全卫生，对饭堂食材安全负有全部责任。</w:t>
      </w:r>
    </w:p>
    <w:p>
      <w:pPr>
        <w:jc w:val="left"/>
      </w:pPr>
      <w:r>
        <w:rPr>
          <w:sz w:val="21"/>
        </w:rPr>
        <w:t>2.负责食品制作、餐饮服务、饭堂清洁及管理工作。</w:t>
      </w:r>
    </w:p>
    <w:p>
      <w:pPr>
        <w:jc w:val="left"/>
      </w:pPr>
      <w:r>
        <w:rPr>
          <w:sz w:val="21"/>
        </w:rPr>
        <w:t>3.负责厨房食品制作任务和餐厅工作协调，确保员工关系和谐。</w:t>
      </w:r>
    </w:p>
    <w:p>
      <w:pPr>
        <w:jc w:val="left"/>
      </w:pPr>
      <w:r>
        <w:rPr>
          <w:sz w:val="21"/>
        </w:rPr>
        <w:t>4.负责菜谱的筹划和更换，以及新品种的研发，每季度做食谱调查并改进。</w:t>
      </w:r>
    </w:p>
    <w:p>
      <w:pPr>
        <w:jc w:val="left"/>
      </w:pPr>
      <w:r>
        <w:rPr>
          <w:sz w:val="21"/>
        </w:rPr>
        <w:t>5.负责提供一周菜谱给</w:t>
      </w:r>
      <w:r>
        <w:rPr>
          <w:sz w:val="21"/>
        </w:rPr>
        <w:t>甲方</w:t>
      </w:r>
      <w:r>
        <w:rPr>
          <w:sz w:val="21"/>
        </w:rPr>
        <w:t>审批确认，</w:t>
      </w:r>
      <w:r>
        <w:rPr>
          <w:sz w:val="21"/>
        </w:rPr>
        <w:t>甲方</w:t>
      </w:r>
      <w:r>
        <w:rPr>
          <w:sz w:val="21"/>
        </w:rPr>
        <w:t>确认后</w:t>
      </w:r>
      <w:r>
        <w:rPr>
          <w:sz w:val="21"/>
        </w:rPr>
        <w:t>乙方</w:t>
      </w:r>
      <w:r>
        <w:rPr>
          <w:sz w:val="21"/>
        </w:rPr>
        <w:t>在实施过程中不得修改菜谱中菜品，如个别品种因市场上缺货，</w:t>
      </w:r>
      <w:r>
        <w:rPr>
          <w:sz w:val="21"/>
        </w:rPr>
        <w:t>乙方</w:t>
      </w:r>
      <w:r>
        <w:rPr>
          <w:sz w:val="21"/>
        </w:rPr>
        <w:t>应第一时间向</w:t>
      </w:r>
      <w:r>
        <w:rPr>
          <w:sz w:val="21"/>
        </w:rPr>
        <w:t>甲方</w:t>
      </w:r>
      <w:r>
        <w:rPr>
          <w:sz w:val="21"/>
        </w:rPr>
        <w:t>汇报。</w:t>
      </w:r>
    </w:p>
    <w:p>
      <w:pPr>
        <w:jc w:val="left"/>
      </w:pPr>
      <w:r>
        <w:rPr>
          <w:sz w:val="21"/>
        </w:rPr>
        <w:t>6.按照要求控制好营业成本并保证菜肴质量、服务水平。</w:t>
      </w:r>
    </w:p>
    <w:p>
      <w:pPr>
        <w:jc w:val="left"/>
      </w:pPr>
      <w:r>
        <w:rPr>
          <w:sz w:val="21"/>
        </w:rPr>
        <w:t>7.定期征求采购方对菜品质量的意见，并按照要求及时改善。</w:t>
      </w:r>
    </w:p>
    <w:p>
      <w:pPr>
        <w:jc w:val="left"/>
      </w:pPr>
      <w:r>
        <w:rPr>
          <w:sz w:val="21"/>
        </w:rPr>
        <w:t>8.负责食品卫生安全、消防安全、生产安全工作。</w:t>
      </w:r>
    </w:p>
    <w:p>
      <w:r>
        <w:rPr>
          <w:b/>
          <w:sz w:val="21"/>
        </w:rPr>
        <w:t>六、</w:t>
      </w:r>
      <w:r>
        <w:rPr>
          <w:b/>
          <w:sz w:val="21"/>
        </w:rPr>
        <w:t>项目服务要求</w:t>
      </w:r>
    </w:p>
    <w:p>
      <w:pPr>
        <w:jc w:val="left"/>
      </w:pPr>
      <w:r>
        <w:rPr>
          <w:sz w:val="21"/>
        </w:rPr>
        <w:t>1.</w:t>
      </w:r>
      <w:r>
        <w:rPr>
          <w:sz w:val="21"/>
        </w:rPr>
        <w:t>甲方</w:t>
      </w:r>
      <w:r>
        <w:rPr>
          <w:sz w:val="21"/>
        </w:rPr>
        <w:t>提供厨房场地、设施、设备、厨具、餐具；</w:t>
      </w:r>
      <w:r>
        <w:rPr>
          <w:sz w:val="21"/>
        </w:rPr>
        <w:t>乙方</w:t>
      </w:r>
      <w:r>
        <w:rPr>
          <w:sz w:val="21"/>
        </w:rPr>
        <w:t>负责对厨房场地、设施、设备、厨具、餐具等保管、维护、维修和保养，所产生的一切费用由</w:t>
      </w:r>
      <w:r>
        <w:rPr>
          <w:sz w:val="21"/>
        </w:rPr>
        <w:t>乙方</w:t>
      </w:r>
      <w:r>
        <w:rPr>
          <w:sz w:val="21"/>
        </w:rPr>
        <w:t>负责。</w:t>
      </w:r>
    </w:p>
    <w:p>
      <w:pPr>
        <w:jc w:val="left"/>
      </w:pPr>
      <w:r>
        <w:rPr>
          <w:sz w:val="21"/>
        </w:rPr>
        <w:t>2.</w:t>
      </w:r>
      <w:r>
        <w:rPr>
          <w:sz w:val="21"/>
        </w:rPr>
        <w:t>甲方</w:t>
      </w:r>
      <w:r>
        <w:rPr>
          <w:sz w:val="21"/>
        </w:rPr>
        <w:t>为</w:t>
      </w:r>
      <w:r>
        <w:rPr>
          <w:sz w:val="21"/>
        </w:rPr>
        <w:t>乙方</w:t>
      </w:r>
      <w:r>
        <w:rPr>
          <w:sz w:val="21"/>
        </w:rPr>
        <w:t>提供水、电和燃气的基础设备，乙方负责在经营期间内所使用水、电和燃气产生的一切费用。</w:t>
      </w:r>
    </w:p>
    <w:p>
      <w:pPr>
        <w:jc w:val="left"/>
      </w:pPr>
      <w:r>
        <w:rPr>
          <w:sz w:val="21"/>
        </w:rPr>
        <w:t>3.托养人员用餐不得带有任何易卡喉的硬块或带有骨质食物，如鱼、鸡、猪骨等。</w:t>
      </w:r>
    </w:p>
    <w:p>
      <w:pPr>
        <w:jc w:val="left"/>
      </w:pPr>
      <w:r>
        <w:rPr>
          <w:sz w:val="21"/>
        </w:rPr>
        <w:t>4.</w:t>
      </w:r>
      <w:r>
        <w:rPr>
          <w:sz w:val="21"/>
        </w:rPr>
        <w:t>乙方</w:t>
      </w:r>
      <w:r>
        <w:rPr>
          <w:sz w:val="21"/>
        </w:rPr>
        <w:t>按要求在政府规定有资质的供应点采购米、肉、蔬菜、食油和其他副食品，并索取所有采购食品的卫生合格证明、动物检疫证、植物农药检测，建立采购台账。</w:t>
      </w:r>
    </w:p>
    <w:p>
      <w:pPr>
        <w:jc w:val="left"/>
      </w:pPr>
      <w:r>
        <w:rPr>
          <w:sz w:val="21"/>
        </w:rPr>
        <w:t>5.按照</w:t>
      </w:r>
      <w:r>
        <w:rPr>
          <w:sz w:val="21"/>
        </w:rPr>
        <w:t>甲方</w:t>
      </w:r>
      <w:r>
        <w:rPr>
          <w:sz w:val="21"/>
        </w:rPr>
        <w:t>规定时间准时开餐，开餐时间由</w:t>
      </w:r>
      <w:r>
        <w:rPr>
          <w:sz w:val="21"/>
        </w:rPr>
        <w:t>甲方</w:t>
      </w:r>
      <w:r>
        <w:rPr>
          <w:sz w:val="21"/>
        </w:rPr>
        <w:t>规定，如有变动应事先通知</w:t>
      </w:r>
      <w:r>
        <w:rPr>
          <w:sz w:val="21"/>
        </w:rPr>
        <w:t>乙方</w:t>
      </w:r>
      <w:r>
        <w:rPr>
          <w:sz w:val="21"/>
        </w:rPr>
        <w:t>；开饭时，</w:t>
      </w:r>
      <w:r>
        <w:rPr>
          <w:sz w:val="21"/>
        </w:rPr>
        <w:t>乙方</w:t>
      </w:r>
      <w:r>
        <w:rPr>
          <w:sz w:val="21"/>
        </w:rPr>
        <w:t>必须把做好的饭菜送到配餐室，并负责为用餐人员配餐</w:t>
      </w:r>
      <w:r>
        <w:rPr>
          <w:sz w:val="21"/>
        </w:rPr>
        <w:t>(分饭、菜、汤）工作。</w:t>
      </w:r>
    </w:p>
    <w:p>
      <w:pPr>
        <w:jc w:val="left"/>
      </w:pPr>
      <w:r>
        <w:rPr>
          <w:sz w:val="21"/>
        </w:rPr>
        <w:t>6.夏天(6-11月份)每周免费提供水果、糖水各1次。</w:t>
      </w:r>
    </w:p>
    <w:p>
      <w:pPr>
        <w:jc w:val="left"/>
      </w:pPr>
      <w:r>
        <w:rPr>
          <w:sz w:val="21"/>
        </w:rPr>
        <w:t>7.全年全天候负责为</w:t>
      </w:r>
      <w:r>
        <w:rPr>
          <w:sz w:val="21"/>
        </w:rPr>
        <w:t>甲方</w:t>
      </w:r>
      <w:r>
        <w:rPr>
          <w:sz w:val="21"/>
        </w:rPr>
        <w:t>供应正常用餐；并且无条件的配合</w:t>
      </w:r>
      <w:r>
        <w:rPr>
          <w:sz w:val="21"/>
        </w:rPr>
        <w:t>甲方</w:t>
      </w:r>
      <w:r>
        <w:rPr>
          <w:sz w:val="21"/>
        </w:rPr>
        <w:t>提供</w:t>
      </w:r>
      <w:r>
        <w:rPr>
          <w:sz w:val="21"/>
        </w:rPr>
        <w:t>“副餐”。按照节日习俗提供相应食品，如元宵节供应汤圆或者饺子、端午节供应粽子、中秋节供应月饼或相应的制作材料等。每逢过节都要有节日加菜，如春节加菜四次，其他节日至少加菜一次；春节、中秋各组织加餐一次，参加人数为：托养人员约80人；工作人员按实际参加人数统计。</w:t>
      </w:r>
    </w:p>
    <w:p>
      <w:pPr>
        <w:jc w:val="left"/>
      </w:pPr>
      <w:r>
        <w:rPr>
          <w:sz w:val="21"/>
        </w:rPr>
        <w:t>8.乙方须在每周五前将下周的菜谱交由甲方确认，甲方确认后方可实施。</w:t>
      </w:r>
    </w:p>
    <w:p>
      <w:pPr>
        <w:jc w:val="left"/>
      </w:pPr>
      <w:r>
        <w:rPr>
          <w:sz w:val="21"/>
        </w:rPr>
        <w:t>9.</w:t>
      </w:r>
      <w:r>
        <w:rPr>
          <w:sz w:val="21"/>
        </w:rPr>
        <w:t>乙方</w:t>
      </w:r>
      <w:r>
        <w:rPr>
          <w:sz w:val="21"/>
        </w:rPr>
        <w:t>负责对食堂室内、外周围环境定期或不定期的搞好清洁卫生以及</w:t>
      </w:r>
      <w:r>
        <w:rPr>
          <w:sz w:val="21"/>
        </w:rPr>
        <w:t>“除四害”工作。</w:t>
      </w:r>
    </w:p>
    <w:p>
      <w:pPr>
        <w:jc w:val="left"/>
      </w:pPr>
      <w:r>
        <w:rPr>
          <w:sz w:val="21"/>
        </w:rPr>
        <w:t>10.</w:t>
      </w:r>
      <w:r>
        <w:rPr>
          <w:sz w:val="21"/>
        </w:rPr>
        <w:t>乙方</w:t>
      </w:r>
      <w:r>
        <w:rPr>
          <w:sz w:val="21"/>
        </w:rPr>
        <w:t>使用的任何清洁剂、消毒剂、杀虫剂、去污剂等用品都必须符合国家有关规定要求，并提交</w:t>
      </w:r>
      <w:r>
        <w:rPr>
          <w:sz w:val="21"/>
        </w:rPr>
        <w:t>甲方</w:t>
      </w:r>
      <w:r>
        <w:rPr>
          <w:sz w:val="21"/>
        </w:rPr>
        <w:t>备案。</w:t>
      </w:r>
    </w:p>
    <w:p>
      <w:pPr>
        <w:jc w:val="left"/>
      </w:pPr>
      <w:r>
        <w:rPr>
          <w:sz w:val="21"/>
        </w:rPr>
        <w:t>11.</w:t>
      </w:r>
      <w:r>
        <w:rPr>
          <w:sz w:val="21"/>
        </w:rPr>
        <w:t>乙方</w:t>
      </w:r>
      <w:r>
        <w:rPr>
          <w:sz w:val="21"/>
        </w:rPr>
        <w:t>负责对本项目工作场所的天花板、墙面、地面、食堂、餐厅内的照明灯、配电箱、电源开关、窗户、桌椅、风扇、空调、电视等设备进行日常清洁、维护工作，物品摆放整齐清洁，随时接受</w:t>
      </w:r>
      <w:r>
        <w:rPr>
          <w:sz w:val="21"/>
        </w:rPr>
        <w:t>甲方</w:t>
      </w:r>
      <w:r>
        <w:rPr>
          <w:sz w:val="21"/>
        </w:rPr>
        <w:t>进行消防安全、食品卫生检查；必须严格水、电、煤气的节约使用。</w:t>
      </w:r>
    </w:p>
    <w:p>
      <w:pPr>
        <w:jc w:val="left"/>
      </w:pPr>
      <w:r>
        <w:rPr>
          <w:sz w:val="21"/>
        </w:rPr>
        <w:t>12.</w:t>
      </w:r>
      <w:r>
        <w:rPr>
          <w:sz w:val="21"/>
        </w:rPr>
        <w:t>乙方</w:t>
      </w:r>
      <w:r>
        <w:rPr>
          <w:sz w:val="21"/>
        </w:rPr>
        <w:t>认真负责对</w:t>
      </w:r>
      <w:r>
        <w:rPr>
          <w:sz w:val="21"/>
        </w:rPr>
        <w:t>甲方</w:t>
      </w:r>
      <w:r>
        <w:rPr>
          <w:sz w:val="21"/>
        </w:rPr>
        <w:t>的厨房设备、设施、厨具和餐具应合理使用、妥善保管，不得人为损坏和丢失，否则按价赔偿。</w:t>
      </w:r>
    </w:p>
    <w:p>
      <w:pPr>
        <w:jc w:val="left"/>
      </w:pPr>
      <w:r>
        <w:rPr>
          <w:sz w:val="21"/>
        </w:rPr>
        <w:t>13.</w:t>
      </w:r>
      <w:r>
        <w:rPr>
          <w:sz w:val="21"/>
        </w:rPr>
        <w:t>乙方</w:t>
      </w:r>
      <w:r>
        <w:rPr>
          <w:sz w:val="21"/>
        </w:rPr>
        <w:t>不准擅自更改</w:t>
      </w:r>
      <w:r>
        <w:rPr>
          <w:sz w:val="21"/>
        </w:rPr>
        <w:t>甲方</w:t>
      </w:r>
      <w:r>
        <w:rPr>
          <w:sz w:val="21"/>
        </w:rPr>
        <w:t>饭堂内部结构；对</w:t>
      </w:r>
      <w:r>
        <w:rPr>
          <w:sz w:val="21"/>
        </w:rPr>
        <w:t>甲方</w:t>
      </w:r>
      <w:r>
        <w:rPr>
          <w:sz w:val="21"/>
        </w:rPr>
        <w:t>原有设施、设备、用具、餐具需要更新或者补充时必须向</w:t>
      </w:r>
      <w:r>
        <w:rPr>
          <w:sz w:val="21"/>
        </w:rPr>
        <w:t>甲方</w:t>
      </w:r>
      <w:r>
        <w:rPr>
          <w:sz w:val="21"/>
        </w:rPr>
        <w:t>提出申请，经同意后，由采购人购置。</w:t>
      </w:r>
    </w:p>
    <w:p>
      <w:pPr>
        <w:jc w:val="left"/>
      </w:pPr>
      <w:r>
        <w:rPr>
          <w:sz w:val="21"/>
        </w:rPr>
        <w:t>14.做好食品检验工作，保证菜食质量与份量。</w:t>
      </w:r>
    </w:p>
    <w:p>
      <w:pPr>
        <w:jc w:val="left"/>
      </w:pPr>
      <w:r>
        <w:rPr>
          <w:sz w:val="21"/>
        </w:rPr>
        <w:t>15.</w:t>
      </w:r>
      <w:r>
        <w:rPr>
          <w:sz w:val="21"/>
        </w:rPr>
        <w:t>乙方</w:t>
      </w:r>
      <w:r>
        <w:rPr>
          <w:sz w:val="21"/>
        </w:rPr>
        <w:t>应认真听取</w:t>
      </w:r>
      <w:r>
        <w:rPr>
          <w:sz w:val="21"/>
        </w:rPr>
        <w:t>甲方</w:t>
      </w:r>
      <w:r>
        <w:rPr>
          <w:sz w:val="21"/>
        </w:rPr>
        <w:t>的意见和建议，即时消化改善。</w:t>
      </w:r>
    </w:p>
    <w:p>
      <w:pPr>
        <w:jc w:val="left"/>
      </w:pPr>
      <w:r>
        <w:rPr>
          <w:sz w:val="21"/>
        </w:rPr>
        <w:t>l6.</w:t>
      </w:r>
      <w:r>
        <w:rPr>
          <w:sz w:val="21"/>
        </w:rPr>
        <w:t>乙方</w:t>
      </w:r>
      <w:r>
        <w:rPr>
          <w:sz w:val="21"/>
        </w:rPr>
        <w:t>在饭堂设置投诉意见簿，供</w:t>
      </w:r>
      <w:r>
        <w:rPr>
          <w:sz w:val="21"/>
        </w:rPr>
        <w:t>甲方</w:t>
      </w:r>
      <w:r>
        <w:rPr>
          <w:sz w:val="21"/>
        </w:rPr>
        <w:t>就餐人员提意见记录，</w:t>
      </w:r>
      <w:r>
        <w:rPr>
          <w:sz w:val="21"/>
        </w:rPr>
        <w:t>乙方</w:t>
      </w:r>
      <w:r>
        <w:rPr>
          <w:sz w:val="21"/>
        </w:rPr>
        <w:t>收到投诉意见后，应在一个工作日内作书面回复，及时整改。</w:t>
      </w:r>
    </w:p>
    <w:p>
      <w:pPr>
        <w:jc w:val="left"/>
      </w:pPr>
      <w:r>
        <w:rPr>
          <w:sz w:val="21"/>
        </w:rPr>
        <w:t>17.</w:t>
      </w:r>
      <w:r>
        <w:rPr>
          <w:sz w:val="21"/>
        </w:rPr>
        <w:t>乙方</w:t>
      </w:r>
      <w:r>
        <w:rPr>
          <w:sz w:val="21"/>
        </w:rPr>
        <w:t>必须负责本部门的安全生产、消防安全、用电、用火以及煤气安全，做好防台风、防火、防雷电、防盗等安全工作。</w:t>
      </w:r>
    </w:p>
    <w:p>
      <w:pPr>
        <w:jc w:val="left"/>
      </w:pPr>
      <w:r>
        <w:rPr>
          <w:sz w:val="21"/>
        </w:rPr>
        <w:t>18.</w:t>
      </w:r>
      <w:r>
        <w:rPr>
          <w:sz w:val="21"/>
        </w:rPr>
        <w:t>乙方</w:t>
      </w:r>
      <w:r>
        <w:rPr>
          <w:sz w:val="21"/>
        </w:rPr>
        <w:t>必须严格执行</w:t>
      </w:r>
      <w:r>
        <w:rPr>
          <w:sz w:val="21"/>
        </w:rPr>
        <w:t>甲方</w:t>
      </w:r>
      <w:r>
        <w:rPr>
          <w:sz w:val="21"/>
        </w:rPr>
        <w:t>发出的消防安全、生产安全、食品卫生安全、环境卫生等的通知、通告。</w:t>
      </w:r>
    </w:p>
    <w:p>
      <w:pPr>
        <w:jc w:val="left"/>
      </w:pPr>
      <w:r>
        <w:rPr>
          <w:sz w:val="21"/>
        </w:rPr>
        <w:t>19.</w:t>
      </w:r>
      <w:r>
        <w:rPr>
          <w:sz w:val="21"/>
        </w:rPr>
        <w:t>乙方</w:t>
      </w:r>
      <w:r>
        <w:rPr>
          <w:sz w:val="21"/>
        </w:rPr>
        <w:t>负责处理食堂所产生的剩饭剩菜及垃圾，每日当餐清理，不可隔夜堆积存放，影响环境卫生，收入归</w:t>
      </w:r>
      <w:r>
        <w:rPr>
          <w:sz w:val="21"/>
        </w:rPr>
        <w:t>乙方</w:t>
      </w:r>
      <w:r>
        <w:rPr>
          <w:sz w:val="21"/>
        </w:rPr>
        <w:t>所有。</w:t>
      </w:r>
    </w:p>
    <w:p>
      <w:pPr>
        <w:jc w:val="left"/>
      </w:pPr>
      <w:r>
        <w:rPr>
          <w:sz w:val="21"/>
        </w:rPr>
        <w:t>20.</w:t>
      </w:r>
      <w:r>
        <w:rPr>
          <w:sz w:val="21"/>
        </w:rPr>
        <w:t>乙方</w:t>
      </w:r>
      <w:r>
        <w:rPr>
          <w:sz w:val="21"/>
        </w:rPr>
        <w:t>不准擅自将</w:t>
      </w:r>
      <w:r>
        <w:rPr>
          <w:sz w:val="21"/>
        </w:rPr>
        <w:t>甲方</w:t>
      </w:r>
      <w:r>
        <w:rPr>
          <w:sz w:val="21"/>
        </w:rPr>
        <w:t>饭堂转包、分包或变相转让他人承包。</w:t>
      </w:r>
    </w:p>
    <w:p>
      <w:pPr>
        <w:jc w:val="left"/>
      </w:pPr>
      <w:r>
        <w:rPr>
          <w:sz w:val="21"/>
        </w:rPr>
        <w:t>21.</w:t>
      </w:r>
      <w:r>
        <w:rPr>
          <w:sz w:val="21"/>
        </w:rPr>
        <w:t>乙方</w:t>
      </w:r>
      <w:r>
        <w:rPr>
          <w:sz w:val="21"/>
        </w:rPr>
        <w:t>负责为</w:t>
      </w:r>
      <w:r>
        <w:rPr>
          <w:sz w:val="21"/>
        </w:rPr>
        <w:t>甲方</w:t>
      </w:r>
      <w:r>
        <w:rPr>
          <w:sz w:val="21"/>
        </w:rPr>
        <w:t>办理食堂的卫生许可等年检工作。</w:t>
      </w:r>
    </w:p>
    <w:p>
      <w:pPr>
        <w:jc w:val="left"/>
      </w:pPr>
      <w:r>
        <w:rPr>
          <w:sz w:val="21"/>
        </w:rPr>
        <w:t>22.</w:t>
      </w:r>
      <w:r>
        <w:rPr>
          <w:sz w:val="21"/>
        </w:rPr>
        <w:t>乙方</w:t>
      </w:r>
      <w:r>
        <w:rPr>
          <w:sz w:val="21"/>
        </w:rPr>
        <w:t>要充分评估物价水平，签订采购合同后不得以物价浮动为由降低合同约定的伙食质量。</w:t>
      </w:r>
    </w:p>
    <w:p>
      <w:pPr>
        <w:jc w:val="left"/>
      </w:pPr>
      <w:r>
        <w:rPr>
          <w:sz w:val="21"/>
        </w:rPr>
        <w:t>23.</w:t>
      </w:r>
      <w:r>
        <w:rPr>
          <w:sz w:val="21"/>
        </w:rPr>
        <w:t>乙方</w:t>
      </w:r>
      <w:r>
        <w:rPr>
          <w:sz w:val="21"/>
        </w:rPr>
        <w:t>须按照政府有关规定协助</w:t>
      </w:r>
      <w:r>
        <w:rPr>
          <w:sz w:val="21"/>
        </w:rPr>
        <w:t>甲方</w:t>
      </w:r>
      <w:r>
        <w:rPr>
          <w:sz w:val="21"/>
        </w:rPr>
        <w:t>采购扶贫农副产品。</w:t>
      </w:r>
    </w:p>
    <w:p>
      <w:r>
        <w:rPr>
          <w:b/>
          <w:sz w:val="21"/>
        </w:rPr>
        <w:t>七、</w:t>
      </w:r>
      <w:r>
        <w:rPr>
          <w:b/>
          <w:sz w:val="21"/>
        </w:rPr>
        <w:t>人员要求</w:t>
      </w:r>
    </w:p>
    <w:p>
      <w:pPr>
        <w:jc w:val="left"/>
      </w:pPr>
      <w:r>
        <w:rPr>
          <w:sz w:val="21"/>
        </w:rPr>
        <w:t>1.食堂工作人员由</w:t>
      </w:r>
      <w:r>
        <w:rPr>
          <w:sz w:val="21"/>
        </w:rPr>
        <w:t>乙方</w:t>
      </w:r>
      <w:r>
        <w:rPr>
          <w:sz w:val="21"/>
        </w:rPr>
        <w:t>管理，其招聘、考勤、日常管理、薪酬、购买保险金、奖金福利等均由</w:t>
      </w:r>
      <w:r>
        <w:rPr>
          <w:sz w:val="21"/>
        </w:rPr>
        <w:t>乙方</w:t>
      </w:r>
      <w:r>
        <w:rPr>
          <w:sz w:val="21"/>
        </w:rPr>
        <w:t>负责；如</w:t>
      </w:r>
      <w:r>
        <w:rPr>
          <w:sz w:val="21"/>
        </w:rPr>
        <w:t>乙方</w:t>
      </w:r>
      <w:r>
        <w:rPr>
          <w:sz w:val="21"/>
        </w:rPr>
        <w:t>员工发生意外事故、工伤、职业病等情形，相应的法律责任和经济责任均由</w:t>
      </w:r>
      <w:r>
        <w:rPr>
          <w:sz w:val="21"/>
        </w:rPr>
        <w:t>乙方</w:t>
      </w:r>
      <w:r>
        <w:rPr>
          <w:sz w:val="21"/>
        </w:rPr>
        <w:t>自行承担。</w:t>
      </w:r>
    </w:p>
    <w:p>
      <w:pPr>
        <w:jc w:val="left"/>
      </w:pPr>
      <w:r>
        <w:rPr>
          <w:sz w:val="21"/>
        </w:rPr>
        <w:t>2.</w:t>
      </w:r>
      <w:r>
        <w:rPr>
          <w:sz w:val="21"/>
        </w:rPr>
        <w:t>乙方</w:t>
      </w:r>
      <w:r>
        <w:rPr>
          <w:sz w:val="21"/>
        </w:rPr>
        <w:t>应配置</w:t>
      </w:r>
      <w:r>
        <w:rPr>
          <w:sz w:val="21"/>
        </w:rPr>
        <w:t>8名或以上工作人员；派驻</w:t>
      </w:r>
      <w:r>
        <w:rPr>
          <w:sz w:val="21"/>
        </w:rPr>
        <w:t>甲方</w:t>
      </w:r>
      <w:r>
        <w:rPr>
          <w:sz w:val="21"/>
        </w:rPr>
        <w:t>所有工作人员必须提供健康证、身份证、上岗证或者工作证复印件交由</w:t>
      </w:r>
      <w:r>
        <w:rPr>
          <w:sz w:val="21"/>
        </w:rPr>
        <w:t>甲方</w:t>
      </w:r>
      <w:r>
        <w:rPr>
          <w:sz w:val="21"/>
        </w:rPr>
        <w:t>方备案并审核，待</w:t>
      </w:r>
      <w:r>
        <w:rPr>
          <w:sz w:val="21"/>
        </w:rPr>
        <w:t>甲方</w:t>
      </w:r>
      <w:r>
        <w:rPr>
          <w:sz w:val="21"/>
        </w:rPr>
        <w:t>确认后才能上岗；</w:t>
      </w:r>
    </w:p>
    <w:p>
      <w:pPr>
        <w:jc w:val="left"/>
      </w:pPr>
      <w:r>
        <w:rPr>
          <w:sz w:val="21"/>
        </w:rPr>
        <w:t>3.</w:t>
      </w:r>
      <w:r>
        <w:rPr>
          <w:sz w:val="21"/>
        </w:rPr>
        <w:t>乙方</w:t>
      </w:r>
      <w:r>
        <w:rPr>
          <w:sz w:val="21"/>
        </w:rPr>
        <w:t>派驻的工作人员中须配备有两名中级或以上的厨师和一名营养师。甲方认为相应人员不符合要求，乙方应及时更换。</w:t>
      </w:r>
    </w:p>
    <w:p>
      <w:pPr>
        <w:jc w:val="left"/>
      </w:pPr>
      <w:r>
        <w:rPr>
          <w:sz w:val="21"/>
        </w:rPr>
        <w:t>4.</w:t>
      </w:r>
      <w:r>
        <w:rPr>
          <w:sz w:val="21"/>
        </w:rPr>
        <w:t>乙方</w:t>
      </w:r>
      <w:r>
        <w:rPr>
          <w:sz w:val="21"/>
        </w:rPr>
        <w:t>员工上班时间必须穿统一工作服、戴帽子、口罩、手套等。</w:t>
      </w:r>
    </w:p>
    <w:p>
      <w:pPr>
        <w:jc w:val="left"/>
      </w:pPr>
      <w:r>
        <w:rPr>
          <w:sz w:val="21"/>
        </w:rPr>
        <w:t>5.</w:t>
      </w:r>
      <w:r>
        <w:rPr>
          <w:sz w:val="21"/>
        </w:rPr>
        <w:t>乙方</w:t>
      </w:r>
      <w:r>
        <w:rPr>
          <w:sz w:val="21"/>
        </w:rPr>
        <w:t>派驻的员工必须严格遵守</w:t>
      </w:r>
      <w:r>
        <w:rPr>
          <w:sz w:val="21"/>
        </w:rPr>
        <w:t>甲方</w:t>
      </w:r>
      <w:r>
        <w:rPr>
          <w:sz w:val="21"/>
        </w:rPr>
        <w:t>的各项规章制度和有关规定，若其因违规违纪给</w:t>
      </w:r>
      <w:r>
        <w:rPr>
          <w:sz w:val="21"/>
        </w:rPr>
        <w:t>甲方</w:t>
      </w:r>
      <w:r>
        <w:rPr>
          <w:sz w:val="21"/>
        </w:rPr>
        <w:t>造成损失，则由</w:t>
      </w:r>
      <w:r>
        <w:rPr>
          <w:sz w:val="21"/>
        </w:rPr>
        <w:t>乙方</w:t>
      </w:r>
      <w:r>
        <w:rPr>
          <w:sz w:val="21"/>
        </w:rPr>
        <w:t>负责，并且，</w:t>
      </w:r>
      <w:r>
        <w:rPr>
          <w:sz w:val="21"/>
        </w:rPr>
        <w:t>甲方</w:t>
      </w:r>
      <w:r>
        <w:rPr>
          <w:sz w:val="21"/>
        </w:rPr>
        <w:t>有权要求</w:t>
      </w:r>
      <w:r>
        <w:rPr>
          <w:sz w:val="21"/>
        </w:rPr>
        <w:t>乙方</w:t>
      </w:r>
      <w:r>
        <w:rPr>
          <w:sz w:val="21"/>
        </w:rPr>
        <w:t>将其调离</w:t>
      </w:r>
      <w:r>
        <w:rPr>
          <w:sz w:val="21"/>
        </w:rPr>
        <w:t>甲方</w:t>
      </w:r>
      <w:r>
        <w:rPr>
          <w:sz w:val="21"/>
        </w:rPr>
        <w:t>单位。乙方应负责派驻人员的社保、薪资等，派驻人员与甲方不存在劳动关系，所发生的安全问题、劳动纠纷等均由乙方负责。</w:t>
      </w:r>
    </w:p>
    <w:p>
      <w:r>
        <w:rPr>
          <w:b/>
          <w:sz w:val="21"/>
        </w:rPr>
        <w:t>八、</w:t>
      </w:r>
      <w:r>
        <w:rPr>
          <w:b/>
          <w:sz w:val="21"/>
        </w:rPr>
        <w:t>食材质量要求：</w:t>
      </w:r>
    </w:p>
    <w:p>
      <w:pPr>
        <w:jc w:val="left"/>
      </w:pPr>
      <w:r>
        <w:rPr>
          <w:sz w:val="21"/>
        </w:rPr>
        <w:t>1.鲜肉（边猪)：所供货物应保持较好的外观和质量等级，符合国家食品部门的有关标准，保证无异味、无霉烂变质，肉类保证来源于正规肉联厂，供货时须提交肉联厂的验收单及当批次有效的动物检疫合格证复印件，鲜肉确保每日新鲜、无异味。</w:t>
      </w:r>
    </w:p>
    <w:p>
      <w:pPr>
        <w:jc w:val="left"/>
      </w:pPr>
      <w:r>
        <w:rPr>
          <w:sz w:val="21"/>
        </w:rPr>
        <w:t>2.辅料、佐料类须为正规厂家的产品，瓜、果、蔬菜须是优质货品，不得含有残留农药或污染物，</w:t>
      </w:r>
      <w:r>
        <w:rPr>
          <w:sz w:val="21"/>
        </w:rPr>
        <w:t>乙方</w:t>
      </w:r>
      <w:r>
        <w:rPr>
          <w:sz w:val="21"/>
        </w:rPr>
        <w:t>须保证所供应的蔬菜符合卫生质量标准，同时承担因所供蔬菜问题引起的一切事故后果。卫生质量指标，应符合我国无公害蔬菜上的卫生指标规定。</w:t>
      </w:r>
    </w:p>
    <w:p>
      <w:pPr>
        <w:jc w:val="left"/>
      </w:pPr>
      <w:r>
        <w:rPr>
          <w:sz w:val="21"/>
        </w:rPr>
        <w:t>3.大米、油、面粉、豆类货物须符合卫生，不得有腐烂、变质、油脂酸败、霉变、生虫、污秽不洁、混有异物或者其他感官性状异常，并可能对人体健康有害的物质。</w:t>
      </w:r>
    </w:p>
    <w:p>
      <w:pPr>
        <w:jc w:val="left"/>
      </w:pPr>
      <w:r>
        <w:rPr>
          <w:sz w:val="21"/>
        </w:rPr>
        <w:t>4.其他肉类及动物内脏：所供产品应保持较好的外观和质量等级，符合国家食品部门的有关标准，保证无异味、无霉烂变质，肉类保证来源于正规肉联厂，供货时须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jc w:val="left"/>
      </w:pPr>
      <w:r>
        <w:rPr>
          <w:sz w:val="21"/>
        </w:rPr>
        <w:t>5.鲜活塘鱼类：鱼体健康，体态匀称，游动活泼，体色鲜明，体表光滑，眼睛亮丽，鳞片鳍条完好，供货时须提供政府职能部门或政府职能部门授权的检测中心提供的检测证明。冷冻食品和深加工食品一周不能超过2个菜式。</w:t>
      </w:r>
    </w:p>
    <w:p>
      <w:pPr>
        <w:jc w:val="left"/>
      </w:pPr>
      <w:r>
        <w:rPr>
          <w:sz w:val="21"/>
        </w:rPr>
        <w:t>6.干货及腊味：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w:t>
      </w:r>
    </w:p>
    <w:p>
      <w:pPr>
        <w:jc w:val="left"/>
      </w:pPr>
      <w:r>
        <w:rPr>
          <w:sz w:val="21"/>
        </w:rPr>
        <w:t>7.调味品、配料类：货物应当具备其应当具备的使用性能，应当符合国家或行业标准。食品包装标签应符合《食品安全国家标准预包装食品标签通则》(GB 7718）要求，包括食品名称、配料表、净含量、规格、生产者(（或）经销者的名称、地址和联系方式、生产日期和保质期、贮存条件、食品生产许可证编号、产品标准代号等内容。</w:t>
      </w:r>
    </w:p>
    <w:p>
      <w:pPr>
        <w:jc w:val="left"/>
      </w:pPr>
      <w:r>
        <w:rPr>
          <w:sz w:val="21"/>
        </w:rPr>
        <w:t>8.食品供应链要求：所有食品的来源须清晰。蔬菜来源应当于受到地方政府部门监管的自有基地、商品菜基地或蔬菜专业流通市场，供货时须提供政府职能部门或政府职能部门授权的检测中心提供的检测证明。</w:t>
      </w:r>
      <w:r>
        <w:rPr>
          <w:sz w:val="21"/>
        </w:rPr>
        <w:t>乙方</w:t>
      </w:r>
      <w:r>
        <w:rPr>
          <w:sz w:val="21"/>
        </w:rPr>
        <w:t>须提供的其食品供应链企业的相关资料交由</w:t>
      </w:r>
      <w:r>
        <w:rPr>
          <w:sz w:val="21"/>
        </w:rPr>
        <w:t>甲方</w:t>
      </w:r>
      <w:r>
        <w:rPr>
          <w:sz w:val="21"/>
        </w:rPr>
        <w:t>备案及审核，待</w:t>
      </w:r>
      <w:r>
        <w:rPr>
          <w:sz w:val="21"/>
        </w:rPr>
        <w:t>甲方</w:t>
      </w:r>
      <w:r>
        <w:rPr>
          <w:sz w:val="21"/>
        </w:rPr>
        <w:t>审核通过才能进行供货。</w:t>
      </w:r>
    </w:p>
    <w:p>
      <w:pPr>
        <w:jc w:val="left"/>
      </w:pPr>
      <w:r>
        <w:rPr>
          <w:sz w:val="21"/>
        </w:rPr>
        <w:t>9.</w:t>
      </w:r>
      <w:r>
        <w:rPr>
          <w:sz w:val="21"/>
        </w:rPr>
        <w:t>乙方</w:t>
      </w:r>
      <w:r>
        <w:rPr>
          <w:sz w:val="21"/>
        </w:rPr>
        <w:t>须负责对食材进行质量检测，严把食材质量关，</w:t>
      </w:r>
      <w:r>
        <w:rPr>
          <w:sz w:val="21"/>
        </w:rPr>
        <w:t>乙方</w:t>
      </w:r>
      <w:r>
        <w:rPr>
          <w:sz w:val="21"/>
        </w:rPr>
        <w:t>供应的食材需经</w:t>
      </w:r>
      <w:r>
        <w:rPr>
          <w:sz w:val="21"/>
        </w:rPr>
        <w:t>甲方</w:t>
      </w:r>
      <w:r>
        <w:rPr>
          <w:sz w:val="21"/>
        </w:rPr>
        <w:t>按食材质量要求验收后确认才能使用，一经发现</w:t>
      </w:r>
      <w:r>
        <w:rPr>
          <w:sz w:val="21"/>
        </w:rPr>
        <w:t>乙方</w:t>
      </w:r>
      <w:r>
        <w:rPr>
          <w:sz w:val="21"/>
        </w:rPr>
        <w:t>存在使用不符合质量标准的食材的情况，</w:t>
      </w:r>
      <w:r>
        <w:rPr>
          <w:sz w:val="21"/>
        </w:rPr>
        <w:t>甲方</w:t>
      </w:r>
      <w:r>
        <w:rPr>
          <w:sz w:val="21"/>
        </w:rPr>
        <w:t>有权视情节严重程度追究其责任。</w:t>
      </w:r>
    </w:p>
    <w:p>
      <w:pPr>
        <w:jc w:val="left"/>
      </w:pPr>
      <w:r>
        <w:rPr>
          <w:sz w:val="21"/>
        </w:rPr>
        <w:t>10.</w:t>
      </w:r>
      <w:r>
        <w:rPr>
          <w:sz w:val="21"/>
        </w:rPr>
        <w:t>乙方</w:t>
      </w:r>
      <w:r>
        <w:rPr>
          <w:sz w:val="21"/>
        </w:rPr>
        <w:t>要按照</w:t>
      </w:r>
      <w:r>
        <w:rPr>
          <w:sz w:val="21"/>
        </w:rPr>
        <w:t>甲方</w:t>
      </w:r>
      <w:r>
        <w:rPr>
          <w:sz w:val="21"/>
        </w:rPr>
        <w:t>要求使用食用纯正一级花生油和一级大米，必要时由</w:t>
      </w:r>
      <w:r>
        <w:rPr>
          <w:sz w:val="21"/>
        </w:rPr>
        <w:t>甲方</w:t>
      </w:r>
      <w:r>
        <w:rPr>
          <w:sz w:val="21"/>
        </w:rPr>
        <w:t>定期指定调整交替使用食用花生油和大米的品牌，确保食用花生油和大米的品质。</w:t>
      </w:r>
    </w:p>
    <w:p>
      <w:r>
        <w:rPr>
          <w:b/>
          <w:sz w:val="21"/>
        </w:rPr>
        <w:t>九、</w:t>
      </w:r>
      <w:r>
        <w:rPr>
          <w:b/>
          <w:sz w:val="21"/>
        </w:rPr>
        <w:t>卫生要求</w:t>
      </w:r>
    </w:p>
    <w:p>
      <w:pPr>
        <w:jc w:val="left"/>
      </w:pPr>
      <w:r>
        <w:rPr>
          <w:sz w:val="21"/>
        </w:rPr>
        <w:t>1.</w:t>
      </w:r>
      <w:r>
        <w:rPr>
          <w:sz w:val="21"/>
        </w:rPr>
        <w:t>乙方</w:t>
      </w:r>
      <w:r>
        <w:rPr>
          <w:sz w:val="21"/>
        </w:rPr>
        <w:t>须制定严格的餐饮卫生管理制度和食品安全突发事故应急预案，严格执行国家《食品安全法》及《餐饮服务食品安全操作规范》，规范服务，卫生防疫、就餐环境须达到省级职能部门制定的标准。</w:t>
      </w:r>
    </w:p>
    <w:p>
      <w:pPr>
        <w:jc w:val="left"/>
      </w:pPr>
      <w:r>
        <w:rPr>
          <w:sz w:val="21"/>
        </w:rPr>
        <w:t>2.就餐环境要求良好，应保证食堂通风、干净卫生、地面无积水，有剩饭剩菜等垃圾处理设施，室内温度超过26℃应开电风扇或空调等。</w:t>
      </w:r>
    </w:p>
    <w:p>
      <w:pPr>
        <w:jc w:val="left"/>
      </w:pPr>
      <w:r>
        <w:rPr>
          <w:sz w:val="21"/>
        </w:rPr>
        <w:t>3.</w:t>
      </w:r>
      <w:r>
        <w:rPr>
          <w:sz w:val="21"/>
        </w:rPr>
        <w:t>乙方</w:t>
      </w:r>
      <w:r>
        <w:rPr>
          <w:sz w:val="21"/>
        </w:rPr>
        <w:t>按照国家有关餐具卫生管理要求，做好公共餐具清洗和消毒工作。</w:t>
      </w:r>
    </w:p>
    <w:p>
      <w:pPr>
        <w:jc w:val="left"/>
      </w:pPr>
      <w:r>
        <w:rPr>
          <w:sz w:val="21"/>
        </w:rPr>
        <w:t>4.</w:t>
      </w:r>
      <w:r>
        <w:rPr>
          <w:sz w:val="21"/>
        </w:rPr>
        <w:t>乙方</w:t>
      </w:r>
      <w:r>
        <w:rPr>
          <w:sz w:val="21"/>
        </w:rPr>
        <w:t>负责打扫食堂区域的卫生，并实行门前三包，所需清洁卫生易耗品、清洁消毒剂等均由</w:t>
      </w:r>
      <w:r>
        <w:rPr>
          <w:sz w:val="21"/>
        </w:rPr>
        <w:t>乙方</w:t>
      </w:r>
      <w:r>
        <w:rPr>
          <w:sz w:val="21"/>
        </w:rPr>
        <w:t>负责购置。</w:t>
      </w:r>
    </w:p>
    <w:p>
      <w:pPr>
        <w:jc w:val="left"/>
      </w:pPr>
      <w:r>
        <w:rPr>
          <w:sz w:val="21"/>
        </w:rPr>
        <w:t>5.食堂的潲水、食材废料、纸皮等由</w:t>
      </w:r>
      <w:r>
        <w:rPr>
          <w:sz w:val="21"/>
        </w:rPr>
        <w:t>乙方</w:t>
      </w:r>
      <w:r>
        <w:rPr>
          <w:sz w:val="21"/>
        </w:rPr>
        <w:t>负责及时处理，以保障厨房、食堂整体环境卫生。餐厨垃圾的处理应符合佛山市的有关规定。</w:t>
      </w:r>
    </w:p>
    <w:p>
      <w:r>
        <w:rPr>
          <w:b/>
          <w:sz w:val="21"/>
        </w:rPr>
        <w:t>十、</w:t>
      </w:r>
      <w:r>
        <w:rPr>
          <w:b/>
          <w:sz w:val="21"/>
        </w:rPr>
        <w:t>安全要求</w:t>
      </w:r>
    </w:p>
    <w:p>
      <w:pPr>
        <w:jc w:val="left"/>
      </w:pPr>
      <w:r>
        <w:rPr>
          <w:sz w:val="21"/>
        </w:rPr>
        <w:t>1.成交供应商需购买处于有效期内的食品安全责任险和公众责任险。</w:t>
      </w:r>
    </w:p>
    <w:p>
      <w:pPr>
        <w:jc w:val="left"/>
      </w:pPr>
      <w:r>
        <w:rPr>
          <w:sz w:val="21"/>
        </w:rPr>
        <w:t>2.</w:t>
      </w:r>
      <w:r>
        <w:rPr>
          <w:sz w:val="21"/>
        </w:rPr>
        <w:t>乙方</w:t>
      </w:r>
      <w:r>
        <w:rPr>
          <w:sz w:val="21"/>
        </w:rPr>
        <w:t>须做好安全用水、用火、用电、煤气等工作，必须服从</w:t>
      </w:r>
      <w:r>
        <w:rPr>
          <w:sz w:val="21"/>
        </w:rPr>
        <w:t>甲方</w:t>
      </w:r>
      <w:r>
        <w:rPr>
          <w:sz w:val="21"/>
        </w:rPr>
        <w:t>的监督和检查，因</w:t>
      </w:r>
      <w:r>
        <w:rPr>
          <w:sz w:val="21"/>
        </w:rPr>
        <w:t>乙方</w:t>
      </w:r>
      <w:r>
        <w:rPr>
          <w:sz w:val="21"/>
        </w:rPr>
        <w:t>违反安全生产操作，所造成事故由</w:t>
      </w:r>
      <w:r>
        <w:rPr>
          <w:sz w:val="21"/>
        </w:rPr>
        <w:t>乙方</w:t>
      </w:r>
      <w:r>
        <w:rPr>
          <w:sz w:val="21"/>
        </w:rPr>
        <w:t>承担一切经济损失和法律责任。</w:t>
      </w:r>
    </w:p>
    <w:p>
      <w:pPr>
        <w:jc w:val="left"/>
      </w:pPr>
      <w:r>
        <w:rPr>
          <w:sz w:val="21"/>
        </w:rPr>
        <w:t>3.</w:t>
      </w:r>
      <w:r>
        <w:rPr>
          <w:sz w:val="21"/>
        </w:rPr>
        <w:t>乙方</w:t>
      </w:r>
      <w:r>
        <w:rPr>
          <w:sz w:val="21"/>
        </w:rPr>
        <w:t>为食品卫生安全直接责任人，必须严格把好食品卫生安全关。</w:t>
      </w:r>
      <w:r>
        <w:rPr>
          <w:sz w:val="21"/>
        </w:rPr>
        <w:t>乙方</w:t>
      </w:r>
      <w:r>
        <w:rPr>
          <w:sz w:val="21"/>
        </w:rPr>
        <w:t>须做好食品留样等常规安全手续并做好存档资料工作。服务期间，因食堂食品安全造成的且经食品药品监督部门检查认定或卫生行政部门检验鉴定确认是</w:t>
      </w:r>
      <w:r>
        <w:rPr>
          <w:sz w:val="21"/>
        </w:rPr>
        <w:t>乙方</w:t>
      </w:r>
      <w:r>
        <w:rPr>
          <w:sz w:val="21"/>
        </w:rPr>
        <w:t>的责任所引起的食品安全事故，由</w:t>
      </w:r>
      <w:r>
        <w:rPr>
          <w:sz w:val="21"/>
        </w:rPr>
        <w:t>乙方</w:t>
      </w:r>
      <w:r>
        <w:rPr>
          <w:sz w:val="21"/>
        </w:rPr>
        <w:t>承担法律责任和一切经济损失，且</w:t>
      </w:r>
      <w:r>
        <w:rPr>
          <w:sz w:val="21"/>
        </w:rPr>
        <w:t>甲方</w:t>
      </w:r>
      <w:r>
        <w:rPr>
          <w:sz w:val="21"/>
        </w:rPr>
        <w:t>有权立即取消</w:t>
      </w:r>
      <w:r>
        <w:rPr>
          <w:sz w:val="21"/>
        </w:rPr>
        <w:t>乙方</w:t>
      </w:r>
      <w:r>
        <w:rPr>
          <w:sz w:val="21"/>
        </w:rPr>
        <w:t>的服务资格。</w:t>
      </w:r>
    </w:p>
    <w:p>
      <w:r>
        <w:rPr>
          <w:b/>
          <w:sz w:val="21"/>
        </w:rPr>
        <w:t>十一、</w:t>
      </w:r>
      <w:r>
        <w:rPr>
          <w:b/>
          <w:sz w:val="21"/>
        </w:rPr>
        <w:t>应急服务</w:t>
      </w:r>
    </w:p>
    <w:p>
      <w:pPr>
        <w:jc w:val="left"/>
      </w:pPr>
      <w:r>
        <w:rPr>
          <w:sz w:val="21"/>
        </w:rPr>
        <w:t>甲方</w:t>
      </w:r>
      <w:r>
        <w:rPr>
          <w:sz w:val="21"/>
        </w:rPr>
        <w:t>有紧急任务需</w:t>
      </w:r>
      <w:r>
        <w:rPr>
          <w:sz w:val="21"/>
        </w:rPr>
        <w:t>乙方</w:t>
      </w:r>
      <w:r>
        <w:rPr>
          <w:sz w:val="21"/>
        </w:rPr>
        <w:t>提供服务的，</w:t>
      </w:r>
      <w:r>
        <w:rPr>
          <w:sz w:val="21"/>
        </w:rPr>
        <w:t>乙方</w:t>
      </w:r>
      <w:r>
        <w:rPr>
          <w:sz w:val="21"/>
        </w:rPr>
        <w:t>须无条件响应，具体费用由双方另行商定。</w:t>
      </w:r>
      <w:r>
        <w:rPr>
          <w:sz w:val="21"/>
        </w:rPr>
        <w:t>甲方</w:t>
      </w:r>
      <w:r>
        <w:rPr>
          <w:sz w:val="21"/>
        </w:rPr>
        <w:t>有需要采购特殊食材的，</w:t>
      </w:r>
      <w:r>
        <w:rPr>
          <w:sz w:val="21"/>
        </w:rPr>
        <w:t>甲方</w:t>
      </w:r>
      <w:r>
        <w:rPr>
          <w:sz w:val="21"/>
        </w:rPr>
        <w:t>应提前</w:t>
      </w:r>
      <w:r>
        <w:rPr>
          <w:sz w:val="21"/>
        </w:rPr>
        <w:t>1至2天通知</w:t>
      </w:r>
      <w:r>
        <w:rPr>
          <w:sz w:val="21"/>
        </w:rPr>
        <w:t>乙方</w:t>
      </w:r>
      <w:r>
        <w:rPr>
          <w:sz w:val="21"/>
        </w:rPr>
        <w:t>。</w:t>
      </w:r>
    </w:p>
    <w:p>
      <w:r>
        <w:rPr>
          <w:b/>
          <w:sz w:val="21"/>
        </w:rPr>
        <w:t>十二、</w:t>
      </w:r>
      <w:r>
        <w:rPr>
          <w:b/>
          <w:sz w:val="21"/>
        </w:rPr>
        <w:t>产品监督</w:t>
      </w:r>
    </w:p>
    <w:p>
      <w:pPr>
        <w:jc w:val="left"/>
      </w:pPr>
      <w:r>
        <w:rPr>
          <w:sz w:val="21"/>
        </w:rPr>
        <w:t>1.原材料质量及进货渠道监督，所有食材原料须符合《中华人民共和国食品安全法》要求，符合国家有关标准，保证无异味、无霉烂变质，能提供相应批次的合格检验证明。</w:t>
      </w:r>
    </w:p>
    <w:p>
      <w:pPr>
        <w:jc w:val="left"/>
      </w:pPr>
      <w:r>
        <w:rPr>
          <w:sz w:val="21"/>
        </w:rPr>
        <w:t>2.菜式品种的数量监督，要求每顿供应的菜式须达到合同约定的数量，每周推出菜式须经</w:t>
      </w:r>
      <w:r>
        <w:rPr>
          <w:sz w:val="21"/>
        </w:rPr>
        <w:t>甲方</w:t>
      </w:r>
      <w:r>
        <w:rPr>
          <w:sz w:val="21"/>
        </w:rPr>
        <w:t>审核，并定期推出新菜式。</w:t>
      </w:r>
    </w:p>
    <w:p>
      <w:pPr>
        <w:jc w:val="left"/>
      </w:pPr>
      <w:r>
        <w:rPr>
          <w:sz w:val="21"/>
        </w:rPr>
        <w:t>3.产品的质量监督，</w:t>
      </w:r>
      <w:r>
        <w:rPr>
          <w:sz w:val="21"/>
        </w:rPr>
        <w:t>乙方</w:t>
      </w:r>
      <w:r>
        <w:rPr>
          <w:sz w:val="21"/>
        </w:rPr>
        <w:t>所制作的食品质量要求须符合国家的卫生、安全标准。根据</w:t>
      </w:r>
      <w:r>
        <w:rPr>
          <w:sz w:val="21"/>
        </w:rPr>
        <w:t>甲方</w:t>
      </w:r>
      <w:r>
        <w:rPr>
          <w:sz w:val="21"/>
        </w:rPr>
        <w:t>就餐人数和经验积累，做到不留隔夜原料，不留隔餐制成品。</w:t>
      </w:r>
    </w:p>
    <w:p>
      <w:pPr>
        <w:jc w:val="left"/>
      </w:pPr>
      <w:r>
        <w:rPr>
          <w:sz w:val="21"/>
        </w:rPr>
        <w:t>4.服务监督：</w:t>
      </w:r>
      <w:r>
        <w:rPr>
          <w:sz w:val="21"/>
        </w:rPr>
        <w:t>乙方</w:t>
      </w:r>
      <w:r>
        <w:rPr>
          <w:sz w:val="21"/>
        </w:rPr>
        <w:t>须按</w:t>
      </w:r>
      <w:r>
        <w:rPr>
          <w:sz w:val="21"/>
        </w:rPr>
        <w:t>甲方</w:t>
      </w:r>
      <w:r>
        <w:rPr>
          <w:sz w:val="21"/>
        </w:rPr>
        <w:t>要求，提供优质服务，各顿膳食供应须遵守约定时间，按时供应。</w:t>
      </w:r>
    </w:p>
    <w:p>
      <w:r>
        <w:rPr>
          <w:b/>
          <w:sz w:val="21"/>
        </w:rPr>
        <w:t>十三、</w:t>
      </w:r>
      <w:r>
        <w:rPr>
          <w:b/>
          <w:sz w:val="21"/>
        </w:rPr>
        <w:t>其他要求</w:t>
      </w:r>
    </w:p>
    <w:p>
      <w:pPr>
        <w:jc w:val="left"/>
      </w:pPr>
      <w:r>
        <w:rPr>
          <w:sz w:val="21"/>
        </w:rPr>
        <w:t>1.服务期</w:t>
      </w:r>
      <w:r>
        <w:rPr>
          <w:sz w:val="21"/>
        </w:rPr>
        <w:t>内</w:t>
      </w:r>
      <w:r>
        <w:rPr>
          <w:sz w:val="21"/>
        </w:rPr>
        <w:t>配合甲方节假日组织活动的餐饮需求，</w:t>
      </w:r>
      <w:r>
        <w:rPr>
          <w:sz w:val="21"/>
        </w:rPr>
        <w:t>包含</w:t>
      </w:r>
      <w:r>
        <w:rPr>
          <w:sz w:val="21"/>
        </w:rPr>
        <w:t>节假日加</w:t>
      </w:r>
      <w:r>
        <w:rPr>
          <w:sz w:val="21"/>
        </w:rPr>
        <w:t>餐活动，具体</w:t>
      </w:r>
      <w:r>
        <w:rPr>
          <w:sz w:val="21"/>
        </w:rPr>
        <w:t>时间</w:t>
      </w:r>
      <w:r>
        <w:rPr>
          <w:sz w:val="21"/>
        </w:rPr>
        <w:t>以</w:t>
      </w:r>
      <w:r>
        <w:rPr>
          <w:sz w:val="21"/>
        </w:rPr>
        <w:t>甲方</w:t>
      </w:r>
      <w:r>
        <w:rPr>
          <w:sz w:val="21"/>
        </w:rPr>
        <w:t>要求为准</w:t>
      </w:r>
      <w:r>
        <w:rPr>
          <w:sz w:val="21"/>
        </w:rPr>
        <w:t>，费用已经包含在此项目的服务费用内。</w:t>
      </w:r>
    </w:p>
    <w:p>
      <w:pPr>
        <w:jc w:val="left"/>
      </w:pPr>
      <w:r>
        <w:rPr>
          <w:sz w:val="21"/>
        </w:rPr>
        <w:t>2.</w:t>
      </w:r>
      <w:r>
        <w:rPr>
          <w:sz w:val="21"/>
        </w:rPr>
        <w:t>甲方</w:t>
      </w:r>
      <w:r>
        <w:rPr>
          <w:sz w:val="21"/>
        </w:rPr>
        <w:t>可根据实际要求对</w:t>
      </w:r>
      <w:r>
        <w:rPr>
          <w:sz w:val="21"/>
        </w:rPr>
        <w:t>乙方</w:t>
      </w:r>
      <w:r>
        <w:rPr>
          <w:sz w:val="21"/>
        </w:rPr>
        <w:t>的</w:t>
      </w:r>
      <w:r>
        <w:rPr>
          <w:sz w:val="21"/>
        </w:rPr>
        <w:t>菜谱进行调整</w:t>
      </w:r>
      <w:r>
        <w:rPr>
          <w:sz w:val="21"/>
        </w:rPr>
        <w:t>，乙方也可根据天气或节日等情况对菜谱提出调整建议，但须征得甲方同意后才可调整。</w:t>
      </w:r>
    </w:p>
    <w:p>
      <w:pPr>
        <w:jc w:val="left"/>
      </w:pPr>
      <w:r>
        <w:rPr>
          <w:sz w:val="21"/>
        </w:rPr>
        <w:t>3.乙方应</w:t>
      </w:r>
      <w:r>
        <w:rPr>
          <w:sz w:val="21"/>
        </w:rPr>
        <w:t>无条件配合</w:t>
      </w:r>
      <w:r>
        <w:rPr>
          <w:sz w:val="21"/>
        </w:rPr>
        <w:t>甲方的防疫政策。</w:t>
      </w:r>
      <w:r>
        <w:rPr>
          <w:sz w:val="21"/>
        </w:rPr>
        <w:t>因</w:t>
      </w:r>
      <w:r>
        <w:rPr>
          <w:sz w:val="21"/>
        </w:rPr>
        <w:t>甲方</w:t>
      </w:r>
      <w:r>
        <w:rPr>
          <w:sz w:val="21"/>
        </w:rPr>
        <w:t>单位属性特殊，可能会根据疫情防控进行封闭式办公，</w:t>
      </w:r>
      <w:r>
        <w:rPr>
          <w:sz w:val="21"/>
        </w:rPr>
        <w:t>乙方</w:t>
      </w:r>
      <w:r>
        <w:rPr>
          <w:sz w:val="21"/>
        </w:rPr>
        <w:t>须</w:t>
      </w:r>
      <w:r>
        <w:rPr>
          <w:sz w:val="21"/>
        </w:rPr>
        <w:t>无条件配合封闭式</w:t>
      </w:r>
      <w:r>
        <w:rPr>
          <w:sz w:val="21"/>
        </w:rPr>
        <w:t>服务。</w:t>
      </w:r>
    </w:p>
    <w:p>
      <w:pPr>
        <w:jc w:val="left"/>
      </w:pPr>
      <w:r>
        <w:rPr>
          <w:sz w:val="21"/>
        </w:rPr>
        <w:t>4.</w:t>
      </w:r>
      <w:r>
        <w:rPr>
          <w:sz w:val="21"/>
        </w:rPr>
        <w:t>甲方</w:t>
      </w:r>
      <w:r>
        <w:rPr>
          <w:sz w:val="21"/>
        </w:rPr>
        <w:t>所在单位有部分第三方人员需要在食堂用餐的，用餐费用</w:t>
      </w:r>
      <w:r>
        <w:rPr>
          <w:sz w:val="21"/>
        </w:rPr>
        <w:t>由第三方</w:t>
      </w:r>
      <w:r>
        <w:rPr>
          <w:sz w:val="21"/>
        </w:rPr>
        <w:t>与</w:t>
      </w:r>
      <w:r>
        <w:rPr>
          <w:sz w:val="21"/>
        </w:rPr>
        <w:t>乙方</w:t>
      </w:r>
      <w:r>
        <w:rPr>
          <w:sz w:val="21"/>
        </w:rPr>
        <w:t>自行协商，</w:t>
      </w:r>
      <w:r>
        <w:rPr>
          <w:sz w:val="21"/>
        </w:rPr>
        <w:t>甲方</w:t>
      </w:r>
      <w:r>
        <w:rPr>
          <w:sz w:val="21"/>
        </w:rPr>
        <w:t>不介入</w:t>
      </w:r>
      <w:r>
        <w:rPr>
          <w:sz w:val="21"/>
        </w:rPr>
        <w:t>。除甲方工作人员、托养人员、甲方认可的第三方人员外的其他人员不可在甲方单位饭堂用餐。</w:t>
      </w:r>
    </w:p>
    <w:p>
      <w:pPr>
        <w:jc w:val="left"/>
      </w:pPr>
      <w:r>
        <w:rPr>
          <w:sz w:val="21"/>
        </w:rPr>
        <w:t>5.本项目将预留一定比例采购份额对贫困（脱贫）地区农副产品进行采购。具体按《关于组织地方预算单位做好2023年政府采购脱贫地区农副产品工作的通知》（财办库〔2023〕45号）、《广东省财政厅关于落实2022年政府采购脱贫地区农副产品工作的通知》（粤财采购〔2022〕4号）等相关规定执行，如遇政策变动的，按最新政策要求执行，如各政策不一致的，取最高比例预留。</w:t>
      </w:r>
    </w:p>
    <w:p>
      <w:r>
        <w:rPr>
          <w:b/>
          <w:sz w:val="21"/>
        </w:rPr>
        <w:t>十四、</w:t>
      </w:r>
      <w:r>
        <w:rPr>
          <w:b/>
          <w:sz w:val="21"/>
        </w:rPr>
        <w:t>服务质量考核要求</w:t>
      </w:r>
    </w:p>
    <w:p>
      <w:pPr>
        <w:jc w:val="left"/>
      </w:pPr>
      <w:r>
        <w:rPr>
          <w:sz w:val="21"/>
        </w:rPr>
        <w:t>甲方每月对乙方进行服务质量考核。满分为</w:t>
      </w:r>
      <w:r>
        <w:rPr>
          <w:sz w:val="21"/>
        </w:rPr>
        <w:t>100分，若发现问题扣除对应分值。（见附件1）</w:t>
      </w:r>
    </w:p>
    <w:p>
      <w:pPr>
        <w:jc w:val="left"/>
      </w:pPr>
      <w:r>
        <w:rPr>
          <w:sz w:val="21"/>
        </w:rPr>
        <w:t>1.考核得分&lt;90分的，甲方有权要求乙方整改并处以罚款，85分以下罚款3000元；85分（含）-90分(不含）罚款1000元。</w:t>
      </w:r>
    </w:p>
    <w:p>
      <w:pPr>
        <w:jc w:val="left"/>
      </w:pPr>
      <w:r>
        <w:rPr>
          <w:sz w:val="21"/>
        </w:rPr>
        <w:t>2.合同期内，如乙方考核得分累计3次低于85分的，甲方有权单方面终止合同。</w:t>
      </w:r>
    </w:p>
    <w:p>
      <w:r>
        <w:rPr>
          <w:b/>
          <w:sz w:val="21"/>
        </w:rPr>
        <w:t>十五、</w:t>
      </w:r>
      <w:r>
        <w:rPr>
          <w:b/>
          <w:sz w:val="21"/>
        </w:rPr>
        <w:t>服务对照执行标准：</w:t>
      </w:r>
    </w:p>
    <w:p>
      <w:r>
        <w:rPr>
          <w:sz w:val="21"/>
        </w:rPr>
        <w:t>1.</w:t>
      </w:r>
      <w:r>
        <w:rPr>
          <w:sz w:val="21"/>
        </w:rPr>
        <w:t>符合中华人民共和国国家和履约地相关安全质量标准、行业技术规范标准；</w:t>
      </w:r>
    </w:p>
    <w:p>
      <w:r>
        <w:rPr>
          <w:sz w:val="21"/>
        </w:rPr>
        <w:t>2.</w:t>
      </w:r>
      <w:r>
        <w:rPr>
          <w:sz w:val="21"/>
        </w:rPr>
        <w:t>符合</w:t>
      </w:r>
      <w:r>
        <w:rPr>
          <w:sz w:val="21"/>
        </w:rPr>
        <w:t>竞争性磋商文件</w:t>
      </w:r>
      <w:r>
        <w:rPr>
          <w:sz w:val="21"/>
        </w:rPr>
        <w:t>和响应承诺中各方共同认可的合理要求；</w:t>
      </w:r>
    </w:p>
    <w:p>
      <w:pPr>
        <w:ind w:firstLine="420"/>
      </w:pPr>
      <w:r>
        <w:rPr>
          <w:sz w:val="21"/>
        </w:rPr>
        <w:t>上述各类标准与法规必须是有关官方机构最新发布的现行标准版本。</w:t>
      </w:r>
    </w:p>
    <w:p>
      <w:r>
        <w:rPr>
          <w:b/>
          <w:sz w:val="21"/>
        </w:rPr>
        <w:t>十六、</w:t>
      </w:r>
      <w:r>
        <w:rPr>
          <w:b/>
          <w:sz w:val="21"/>
        </w:rPr>
        <w:t>投诉跟踪服务要求：</w:t>
      </w:r>
    </w:p>
    <w:p>
      <w:r>
        <w:rPr>
          <w:sz w:val="21"/>
        </w:rPr>
        <w:t>1.</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sz w:val="21"/>
        </w:rPr>
        <w:t>2.</w:t>
      </w:r>
      <w:r>
        <w:rPr>
          <w:sz w:val="21"/>
        </w:rPr>
        <w:t>服务期内，甲方有权按本项目的管理要求对乙方进行不定期抽查检查，若对不合格的管理服务提出警告后，仍未得到有效解决时，甲方有权终止管理合同。</w:t>
      </w:r>
    </w:p>
    <w:p>
      <w:r>
        <w:rPr>
          <w:sz w:val="21"/>
        </w:rPr>
        <w:t>3.</w:t>
      </w:r>
      <w:r>
        <w:rPr>
          <w:sz w:val="21"/>
        </w:rPr>
        <w:t>乙方服务机构名称及地址：</w:t>
      </w:r>
      <w:r>
        <w:rPr/>
        <w:t xml:space="preserve"> </w:t>
      </w:r>
    </w:p>
    <w:p>
      <w:pPr>
        <w:ind w:firstLine="420"/>
      </w:pPr>
      <w:r>
        <w:rPr>
          <w:sz w:val="21"/>
        </w:rPr>
        <w:t>联系人</w:t>
      </w:r>
      <w:r>
        <w:rPr>
          <w:sz w:val="21"/>
        </w:rPr>
        <w:t>1：          ，联系电话：            ，手机：          ；</w:t>
      </w:r>
    </w:p>
    <w:p>
      <w:pPr>
        <w:ind w:firstLine="420"/>
      </w:pPr>
      <w:r>
        <w:rPr>
          <w:sz w:val="21"/>
        </w:rPr>
        <w:t>联系人</w:t>
      </w:r>
      <w:r>
        <w:rPr>
          <w:sz w:val="21"/>
        </w:rPr>
        <w:t>2：          ，联系电话：            ，手机：          ；</w:t>
      </w:r>
    </w:p>
    <w:p>
      <w:pPr>
        <w:ind w:firstLine="420"/>
      </w:pPr>
      <w:r>
        <w:rPr>
          <w:sz w:val="21"/>
        </w:rPr>
        <w:t>服务专线电话：</w:t>
      </w:r>
    </w:p>
    <w:p>
      <w:r>
        <w:rPr>
          <w:sz w:val="21"/>
        </w:rPr>
        <w:t>4.</w:t>
      </w:r>
      <w:r>
        <w:rPr>
          <w:sz w:val="21"/>
        </w:rPr>
        <w:t>其他服务要求：（补充内容不得对</w:t>
      </w:r>
      <w:r>
        <w:rPr>
          <w:sz w:val="21"/>
        </w:rPr>
        <w:t>竞争性磋商文件</w:t>
      </w:r>
      <w:r>
        <w:rPr>
          <w:sz w:val="21"/>
        </w:rPr>
        <w:t>和投标</w:t>
      </w:r>
      <w:r>
        <w:rPr>
          <w:sz w:val="21"/>
        </w:rPr>
        <w:t>/响应文件作实质性修改）</w:t>
      </w:r>
    </w:p>
    <w:p>
      <w:r>
        <w:rPr>
          <w:u w:val="single"/>
        </w:rPr>
        <w:t xml:space="preserve">                                                          </w:t>
      </w:r>
      <w:r>
        <w:rPr>
          <w:sz w:val="21"/>
        </w:rPr>
        <w:t>。</w:t>
      </w:r>
    </w:p>
    <w:p>
      <w:r>
        <w:rPr>
          <w:b/>
          <w:sz w:val="21"/>
        </w:rPr>
        <w:t>十七、</w:t>
      </w:r>
      <w:r>
        <w:rPr>
          <w:b/>
          <w:sz w:val="21"/>
        </w:rPr>
        <w:t>验收要求：</w:t>
      </w:r>
    </w:p>
    <w:p>
      <w:r>
        <w:rPr>
          <w:sz w:val="21"/>
        </w:rPr>
        <w:t>1.</w:t>
      </w:r>
      <w:r>
        <w:rPr>
          <w:sz w:val="21"/>
        </w:rPr>
        <w:t>乙方</w:t>
      </w:r>
      <w:r>
        <w:rPr>
          <w:sz w:val="21"/>
        </w:rPr>
        <w:t>须为验收提供必需的一切条件及相关费用。</w:t>
      </w:r>
    </w:p>
    <w:p>
      <w:r>
        <w:rPr>
          <w:sz w:val="21"/>
        </w:rPr>
        <w:t>2.</w:t>
      </w:r>
      <w:r>
        <w:rPr>
          <w:sz w:val="21"/>
        </w:rPr>
        <w:t>项目验收依次序对照执行标准</w:t>
      </w:r>
    </w:p>
    <w:p>
      <w:pPr>
        <w:ind w:firstLine="420"/>
      </w:pPr>
      <w:r>
        <w:rPr>
          <w:sz w:val="21"/>
        </w:rPr>
        <w:t>1</w:t>
      </w:r>
      <w:r>
        <w:rPr>
          <w:sz w:val="21"/>
        </w:rPr>
        <w:t>）符合中华人民共和国国家和履约地相关安全质量标准、行业技术规范标准、环保节能标准</w:t>
      </w:r>
      <w:r>
        <w:rPr>
          <w:sz w:val="21"/>
        </w:rPr>
        <w:t>；</w:t>
      </w:r>
    </w:p>
    <w:p>
      <w:pPr>
        <w:ind w:firstLine="420"/>
      </w:pPr>
      <w:r>
        <w:rPr>
          <w:sz w:val="21"/>
        </w:rPr>
        <w:t>2</w:t>
      </w:r>
      <w:r>
        <w:rPr>
          <w:sz w:val="21"/>
        </w:rPr>
        <w:t>）符合</w:t>
      </w:r>
      <w:r>
        <w:rPr>
          <w:sz w:val="21"/>
        </w:rPr>
        <w:t>磋商</w:t>
      </w:r>
      <w:r>
        <w:rPr>
          <w:sz w:val="21"/>
        </w:rPr>
        <w:t>文件</w:t>
      </w:r>
      <w:r>
        <w:rPr>
          <w:sz w:val="21"/>
        </w:rPr>
        <w:t>和响应</w:t>
      </w:r>
      <w:r>
        <w:rPr>
          <w:sz w:val="21"/>
        </w:rPr>
        <w:t>承诺中各方共同认可的各项要求</w:t>
      </w:r>
      <w:r>
        <w:rPr>
          <w:sz w:val="21"/>
        </w:rPr>
        <w:t>；</w:t>
      </w:r>
    </w:p>
    <w:p>
      <w:pPr>
        <w:ind w:firstLine="420"/>
      </w:pPr>
      <w:r>
        <w:rPr>
          <w:sz w:val="21"/>
        </w:rPr>
        <w:t>3</w:t>
      </w:r>
      <w:r>
        <w:rPr>
          <w:sz w:val="21"/>
        </w:rPr>
        <w:t>）符合货物来源国官方颁布标准</w:t>
      </w:r>
      <w:r>
        <w:rPr>
          <w:sz w:val="21"/>
        </w:rPr>
        <w:t>；</w:t>
      </w:r>
    </w:p>
    <w:p>
      <w:pPr>
        <w:ind w:firstLine="420"/>
      </w:pPr>
      <w:r>
        <w:rPr>
          <w:sz w:val="21"/>
        </w:rPr>
        <w:t>4</w:t>
      </w:r>
      <w:r>
        <w:rPr>
          <w:sz w:val="21"/>
        </w:rPr>
        <w:t>）上述各类标准与法规必须是有关官方机构最新发布的现行标准版本。</w:t>
      </w:r>
    </w:p>
    <w:p>
      <w:r>
        <w:rPr>
          <w:sz w:val="21"/>
        </w:rPr>
        <w:t>3.</w:t>
      </w:r>
      <w:r>
        <w:rPr>
          <w:sz w:val="21"/>
        </w:rPr>
        <w:t>由甲方每月对乙方进行服务质量考核，具体见</w:t>
      </w:r>
      <w:r>
        <w:rPr>
          <w:sz w:val="21"/>
        </w:rPr>
        <w:t>“服务质量考核要求”。</w:t>
      </w:r>
    </w:p>
    <w:p>
      <w:r>
        <w:rPr>
          <w:sz w:val="21"/>
        </w:rPr>
        <w:t>4.</w:t>
      </w:r>
      <w:r>
        <w:rPr>
          <w:sz w:val="21"/>
        </w:rPr>
        <w:t>甲方在收到乙方项目验收建议之日起</w:t>
      </w:r>
      <w:r>
        <w:rPr>
          <w:sz w:val="21"/>
        </w:rPr>
        <w:t>7个工作日内按照合同的约定对履约情况进行验收。乙方需为验收提供必需的一切条件及相关费用，并提供本项目的相关文档和验收所需资料，积极配合甲方完成验收工作。</w:t>
      </w:r>
    </w:p>
    <w:p>
      <w:r>
        <w:rPr>
          <w:sz w:val="21"/>
        </w:rPr>
        <w:t>5.</w:t>
      </w:r>
      <w:r>
        <w:rPr>
          <w:sz w:val="21"/>
        </w:rPr>
        <w:t>其他验收要求：（补充内容不得对</w:t>
      </w:r>
      <w:r>
        <w:rPr>
          <w:sz w:val="21"/>
        </w:rPr>
        <w:t>竞争性磋商文件</w:t>
      </w:r>
      <w:r>
        <w:rPr>
          <w:sz w:val="21"/>
        </w:rPr>
        <w:t>和投标</w:t>
      </w:r>
      <w:r>
        <w:rPr>
          <w:sz w:val="21"/>
        </w:rPr>
        <w:t>/响应文件作实质性修改）</w:t>
      </w:r>
    </w:p>
    <w:p>
      <w:pPr>
        <w:ind w:firstLine="420"/>
      </w:pPr>
      <w:r>
        <w:rPr>
          <w:u w:val="single"/>
        </w:rPr>
        <w:t xml:space="preserve">                                                                </w:t>
      </w:r>
      <w:r>
        <w:rPr>
          <w:sz w:val="21"/>
        </w:rPr>
        <w:t>。</w:t>
      </w:r>
    </w:p>
    <w:p>
      <w:r>
        <w:rPr>
          <w:b/>
          <w:sz w:val="21"/>
        </w:rPr>
        <w:t>十八、</w:t>
      </w:r>
      <w:r>
        <w:rPr>
          <w:b/>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sz w:val="21"/>
        </w:rPr>
        <w:t>十九、</w:t>
      </w:r>
      <w:r>
        <w:rPr>
          <w:b/>
          <w:sz w:val="21"/>
        </w:rPr>
        <w:t>违约责任：</w:t>
      </w:r>
    </w:p>
    <w:p>
      <w:pPr>
        <w:jc w:val="both"/>
      </w:pPr>
      <w:r>
        <w:rPr>
          <w:sz w:val="21"/>
        </w:rPr>
        <w:t>1.</w:t>
      </w:r>
      <w:r>
        <w:rPr>
          <w:sz w:val="21"/>
        </w:rPr>
        <w:t>乙方提供的服务不符合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服务，到期拒付服务款项的，甲方向乙方偿付本合同总价的</w:t>
      </w:r>
      <w:r>
        <w:rPr>
          <w:sz w:val="21"/>
        </w:rPr>
        <w:t>5%的违约金。</w:t>
      </w:r>
      <w:r>
        <w:rPr>
          <w:sz w:val="21"/>
        </w:rPr>
        <w:t>甲方</w:t>
      </w:r>
      <w:r>
        <w:rPr>
          <w:sz w:val="21"/>
        </w:rPr>
        <w:t>逾期付款的，则每日按本合同总价的</w:t>
      </w:r>
      <w:r>
        <w:rPr>
          <w:sz w:val="21"/>
        </w:rPr>
        <w:t>万分之五</w:t>
      </w:r>
      <w:r>
        <w:rPr>
          <w:sz w:val="21"/>
        </w:rPr>
        <w:t>向乙方偿付违约金。</w:t>
      </w:r>
      <w:r>
        <w:rPr>
          <w:sz w:val="21"/>
        </w:rPr>
        <w:t>甲方</w:t>
      </w:r>
      <w:r>
        <w:rPr>
          <w:sz w:val="21"/>
        </w:rPr>
        <w:t>逾期退还履约保证金的</w:t>
      </w:r>
      <w:r>
        <w:rPr>
          <w:sz w:val="21"/>
        </w:rPr>
        <w:t>，则每日按</w:t>
      </w:r>
      <w:r>
        <w:rPr>
          <w:sz w:val="21"/>
        </w:rPr>
        <w:t>履约保证金</w:t>
      </w:r>
      <w:r>
        <w:rPr>
          <w:sz w:val="21"/>
        </w:rPr>
        <w:t>的</w:t>
      </w:r>
      <w:r>
        <w:rPr>
          <w:sz w:val="21"/>
        </w:rPr>
        <w:t>万分之五</w:t>
      </w:r>
      <w:r>
        <w:rPr>
          <w:sz w:val="21"/>
        </w:rPr>
        <w:t>向乙方偿付违约金。</w:t>
      </w:r>
    </w:p>
    <w:p>
      <w:pPr>
        <w:jc w:val="both"/>
      </w:pPr>
      <w:r>
        <w:rPr>
          <w:sz w:val="21"/>
        </w:rPr>
        <w:t>4.</w:t>
      </w:r>
      <w:r>
        <w:rPr>
          <w:sz w:val="21"/>
        </w:rPr>
        <w:t>其它违约责任按《中华人民共和国民法典》处理。</w:t>
      </w:r>
    </w:p>
    <w:p>
      <w:r>
        <w:rPr>
          <w:b/>
          <w:sz w:val="21"/>
        </w:rPr>
        <w:t>二十、</w:t>
      </w:r>
      <w:r>
        <w:rPr>
          <w:b/>
          <w:sz w:val="21"/>
        </w:rPr>
        <w:t>提出异议的时间和方法：</w:t>
      </w:r>
    </w:p>
    <w:p>
      <w:r>
        <w:rPr>
          <w:sz w:val="21"/>
        </w:rPr>
        <w:t>1.</w:t>
      </w:r>
      <w:r>
        <w:rPr>
          <w:sz w:val="21"/>
        </w:rPr>
        <w:t>甲方有异议时，应</w:t>
      </w:r>
      <w:r>
        <w:rPr>
          <w:u w:val="single"/>
        </w:rPr>
        <w:t xml:space="preserve">     </w:t>
      </w:r>
      <w:r>
        <w:rPr>
          <w:sz w:val="21"/>
        </w:rPr>
        <w:t>天内向乙方提出书面异议。</w:t>
      </w:r>
    </w:p>
    <w:p>
      <w:r>
        <w:rPr>
          <w:sz w:val="21"/>
        </w:rPr>
        <w:t>2.</w:t>
      </w:r>
      <w:r>
        <w:rPr>
          <w:sz w:val="21"/>
        </w:rPr>
        <w:t>乙方在接到甲方书面异议后，应在</w:t>
      </w:r>
      <w:r>
        <w:rPr>
          <w:sz w:val="21"/>
        </w:rPr>
        <w:t>3天内负责处理并函复甲方处理情况，否则，即视为默认甲方提出的异议和处理意见。</w:t>
      </w:r>
    </w:p>
    <w:p>
      <w:r>
        <w:rPr>
          <w:sz w:val="21"/>
        </w:rPr>
        <w:t>3.</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1"/>
        </w:rPr>
        <w:t>二十一、</w:t>
      </w:r>
      <w:r>
        <w:rPr>
          <w:b/>
          <w:sz w:val="21"/>
        </w:rPr>
        <w:t>争议的解决：</w:t>
      </w:r>
    </w:p>
    <w:p>
      <w:r>
        <w:rPr>
          <w:sz w:val="21"/>
        </w:rPr>
        <w:t>1.</w:t>
      </w:r>
      <w:r>
        <w:rPr>
          <w:sz w:val="21"/>
        </w:rPr>
        <w:t>合同履行过程中发生的任何争议，如双方未能通过友好协商解决，应向佛山市有管辖权的人民法院提起诉讼。</w:t>
      </w:r>
    </w:p>
    <w:p>
      <w:r>
        <w:rPr>
          <w:sz w:val="21"/>
        </w:rPr>
        <w:t>2.</w:t>
      </w:r>
      <w:r>
        <w:rPr>
          <w:sz w:val="21"/>
        </w:rPr>
        <w:t>法院审理期间，除提交法院审理的事项外，其它无争议的事项和条款仍应继续履行。</w:t>
      </w:r>
    </w:p>
    <w:p>
      <w:r>
        <w:rPr>
          <w:b/>
          <w:sz w:val="21"/>
        </w:rPr>
        <w:t>二十二、</w:t>
      </w:r>
      <w:r>
        <w:rPr>
          <w:b/>
          <w:sz w:val="21"/>
        </w:rPr>
        <w:t>不可抗力：</w:t>
      </w:r>
    </w:p>
    <w:p>
      <w:pPr>
        <w:ind w:firstLine="420"/>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r>
        <w:rPr>
          <w:b/>
          <w:sz w:val="21"/>
        </w:rPr>
        <w:t>二十三、</w:t>
      </w:r>
      <w:r>
        <w:rPr>
          <w:b/>
          <w:sz w:val="21"/>
        </w:rPr>
        <w:t>税费：</w:t>
      </w:r>
    </w:p>
    <w:p>
      <w:r>
        <w:rPr>
          <w:sz w:val="21"/>
        </w:rPr>
        <w:t>1.</w:t>
      </w:r>
      <w:r>
        <w:rPr>
          <w:sz w:val="21"/>
        </w:rPr>
        <w:t>本合同实施过程中所发生的一切税费及不可预见费均由乙方承担。</w:t>
      </w:r>
    </w:p>
    <w:p>
      <w:r>
        <w:rPr>
          <w:sz w:val="21"/>
        </w:rPr>
        <w:t>2.</w:t>
      </w:r>
      <w:r>
        <w:rPr>
          <w:sz w:val="21"/>
        </w:rPr>
        <w:t>乙方依照税务规章优先在合同履约地开具发票及纳税，咨询：</w:t>
      </w:r>
      <w:r>
        <w:rPr>
          <w:sz w:val="21"/>
        </w:rPr>
        <w:t>0757-12366。</w:t>
      </w:r>
    </w:p>
    <w:p>
      <w:r>
        <w:rPr>
          <w:b/>
          <w:sz w:val="21"/>
        </w:rPr>
        <w:t>二十四、</w:t>
      </w:r>
      <w:r>
        <w:rPr>
          <w:b/>
          <w:sz w:val="21"/>
        </w:rPr>
        <w:t>合同生效与合同备案：</w:t>
      </w:r>
    </w:p>
    <w:p>
      <w:r>
        <w:rPr>
          <w:sz w:val="21"/>
        </w:rPr>
        <w:t>1.</w:t>
      </w:r>
      <w:r>
        <w:rPr>
          <w:sz w:val="21"/>
        </w:rPr>
        <w:t>本合同在甲乙双方法人代表或其授权代表签字盖章后生效。</w:t>
      </w:r>
    </w:p>
    <w:p>
      <w:r>
        <w:rPr>
          <w:sz w:val="21"/>
        </w:rPr>
        <w:t>2.</w:t>
      </w:r>
      <w:r>
        <w:rPr>
          <w:sz w:val="21"/>
        </w:rPr>
        <w:t>自采购合同签订之日起</w:t>
      </w:r>
      <w:r>
        <w:rPr>
          <w:sz w:val="21"/>
        </w:rPr>
        <w:t>7个工作日内，由甲方按照有关规定将采购合同副本报同级人民政府财政部门（政府采购管理部门）备案。</w:t>
      </w:r>
    </w:p>
    <w:p>
      <w:r>
        <w:rPr>
          <w:b/>
          <w:sz w:val="21"/>
        </w:rPr>
        <w:t>二十五、</w:t>
      </w:r>
      <w:r>
        <w:rPr>
          <w:b/>
          <w:sz w:val="21"/>
        </w:rPr>
        <w:t>乙方应提供的资料内容：</w:t>
      </w:r>
    </w:p>
    <w:p>
      <w:r>
        <w:rPr>
          <w:u w:val="single"/>
        </w:rPr>
        <w:t xml:space="preserve">                                                            </w:t>
      </w:r>
      <w:r>
        <w:rPr>
          <w:sz w:val="21"/>
        </w:rPr>
        <w:t>。</w:t>
      </w:r>
    </w:p>
    <w:p>
      <w:r>
        <w:rPr>
          <w:b/>
          <w:sz w:val="21"/>
        </w:rPr>
        <w:t>二十六、</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2.</w:t>
      </w:r>
      <w:r>
        <w:rPr>
          <w:sz w:val="21"/>
        </w:rPr>
        <w:t>融资银行及联系方式：</w:t>
      </w:r>
      <w:r>
        <w:rPr>
          <w:u w:val="single"/>
        </w:rPr>
        <w:t xml:space="preserve">                                                </w:t>
      </w:r>
      <w:r>
        <w:rPr>
          <w:sz w:val="21"/>
        </w:rPr>
        <w:t>。</w:t>
      </w:r>
    </w:p>
    <w:p>
      <w:r>
        <w:rPr>
          <w:sz w:val="21"/>
        </w:rPr>
        <w:t>3.</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r>
        <w:rPr>
          <w:b/>
          <w:sz w:val="21"/>
        </w:rPr>
        <w:t>二十七、</w:t>
      </w:r>
      <w:r>
        <w:rPr>
          <w:b/>
          <w:sz w:val="21"/>
        </w:rPr>
        <w:t>其它：</w:t>
      </w:r>
    </w:p>
    <w:p>
      <w:r>
        <w:rPr>
          <w:sz w:val="21"/>
        </w:rPr>
        <w:t>1.</w:t>
      </w:r>
      <w:r>
        <w:rPr>
          <w:sz w:val="21"/>
        </w:rPr>
        <w:t>所有经一方或双方签署确认的文件（包括会议纪要、补充协议、往来信函）、</w:t>
      </w:r>
      <w:r>
        <w:rPr>
          <w:sz w:val="21"/>
        </w:rPr>
        <w:t>竞争性磋商文件</w:t>
      </w:r>
      <w:r>
        <w:rPr>
          <w:sz w:val="21"/>
        </w:rPr>
        <w:t>、要约文件和响应承诺文件、合同附件及中标（成交）通知书均为本合同不可分割的有效组成部分，与本合同具有同等的法律效力和履约义务，其缔约生效日期为有效签署或盖章确认之日期。</w:t>
      </w:r>
    </w:p>
    <w:p>
      <w:r>
        <w:rPr>
          <w:sz w:val="21"/>
        </w:rPr>
        <w:t>2.</w:t>
      </w:r>
      <w:r>
        <w:rPr>
          <w:sz w:val="21"/>
        </w:rPr>
        <w:t>如一方（包括联系人）地址、电话、传真号码有变更，应在变更后</w:t>
      </w:r>
      <w:r>
        <w:rPr>
          <w:sz w:val="21"/>
        </w:rPr>
        <w:t>3个工作日内书面通知对方联系人或负责人，否则，因此造成的损失由未履行通知义务方承担相应责任。</w:t>
      </w:r>
    </w:p>
    <w:p>
      <w:r>
        <w:rPr>
          <w:sz w:val="21"/>
        </w:rPr>
        <w:t>3.</w:t>
      </w:r>
      <w:r>
        <w:rPr>
          <w:sz w:val="21"/>
        </w:rPr>
        <w:t>未经甲方书面同意，乙方不得擅自向第三方转让其主体性和关键性合同义务。</w:t>
      </w:r>
    </w:p>
    <w:p>
      <w:r>
        <w:rPr>
          <w:sz w:val="21"/>
        </w:rPr>
        <w:t>4.</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r>
        <w:rPr>
          <w:sz w:val="21"/>
        </w:rPr>
        <w:t>，</w:t>
      </w:r>
      <w:r>
        <w:rPr>
          <w:sz w:val="21"/>
        </w:rPr>
        <w:t>代理机构执壹份</w:t>
      </w:r>
      <w:r>
        <w:rPr>
          <w:sz w:val="21"/>
        </w:rPr>
        <w:t>。</w:t>
      </w:r>
    </w:p>
    <w:p>
      <w:r>
        <w:rPr>
          <w:sz w:val="21"/>
        </w:rPr>
        <w:t>5.</w:t>
      </w:r>
      <w:r>
        <w:rPr>
          <w:sz w:val="21"/>
        </w:rPr>
        <w:t>本合同（含附件）共计</w:t>
      </w:r>
      <w:r>
        <w:rPr>
          <w:u w:val="single"/>
        </w:rPr>
        <w:t xml:space="preserve">    </w:t>
      </w:r>
      <w:r>
        <w:rPr>
          <w:sz w:val="21"/>
        </w:rPr>
        <w:t>页，缺页之合同为无效合同。</w:t>
      </w:r>
    </w:p>
    <w:p>
      <w:r>
        <w:rPr>
          <w:sz w:val="21"/>
        </w:rPr>
        <w:t>6.</w:t>
      </w:r>
      <w:r>
        <w:rPr>
          <w:sz w:val="21"/>
        </w:rPr>
        <w:t>本合同签约履约地点：广东省佛山市。</w:t>
      </w:r>
    </w:p>
    <w:p>
      <w:r>
        <w:rPr>
          <w:sz w:val="21"/>
        </w:rPr>
        <w:t>7.</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r>
        <w:rPr>
          <w:sz w:val="21"/>
        </w:rPr>
        <w:t>8.</w:t>
      </w:r>
      <w:r>
        <w:rPr>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21"/>
              </w:rPr>
              <w:t>户</w:t>
            </w:r>
            <w:r>
              <w:rPr>
                <w:sz w:val="21"/>
              </w:rPr>
              <w:t>行：</w:t>
            </w:r>
          </w:p>
        </w:tc>
      </w:tr>
    </w:tbl>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sz w:val="21"/>
        </w:rPr>
        <w:t>合同附件清单：</w:t>
      </w:r>
    </w:p>
    <w:p>
      <w:r>
        <w:rPr>
          <w:b/>
          <w:sz w:val="21"/>
        </w:rPr>
        <w:t>附件</w:t>
      </w:r>
      <w:r>
        <w:rPr>
          <w:b/>
          <w:sz w:val="21"/>
        </w:rPr>
        <w:t>1</w:t>
      </w:r>
      <w:r>
        <w:rPr>
          <w:b/>
          <w:sz w:val="21"/>
        </w:rPr>
        <w:t>、《服务质量考核表》</w:t>
      </w:r>
    </w:p>
    <w:p>
      <w:pPr>
        <w:jc w:val="center"/>
      </w:pPr>
      <w:r>
        <w:rPr>
          <w:b/>
          <w:sz w:val="32"/>
        </w:rPr>
        <w:t>服务质量考核表</w:t>
      </w:r>
    </w:p>
    <w:p>
      <w:pPr>
        <w:jc w:val="left"/>
      </w:pPr>
      <w:r>
        <w:rPr>
          <w:sz w:val="21"/>
        </w:rPr>
        <w:t>考核时间：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717"/>
        <w:gridCol w:w="678"/>
        <w:gridCol w:w="2751"/>
        <w:gridCol w:w="1395"/>
        <w:gridCol w:w="561"/>
      </w:tblGrid>
      <w:tr>
        <w:tc>
          <w:tcPr>
            <w:tcW w:type="dxa" w:w="717"/>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7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51"/>
            <w:tcBorders>
              <w:top w:val="single" w:color="000000" w:sz="4"/>
              <w:left w:val="single" w:color="000000" w:sz="4"/>
              <w:bottom w:val="single" w:color="000000" w:sz="4"/>
              <w:right w:val="single" w:color="000000" w:sz="4"/>
            </w:tcBorders>
            <w:vAlign w:val="top"/>
          </w:tcPr>
          <w:p>
            <w:pPr>
              <w:jc w:val="center"/>
            </w:pPr>
            <w:r>
              <w:rPr>
                <w:sz w:val="21"/>
              </w:rPr>
              <w:t>检查具体内容</w:t>
            </w:r>
          </w:p>
        </w:tc>
        <w:tc>
          <w:tcPr>
            <w:tcW w:type="dxa" w:w="1395"/>
            <w:tcBorders>
              <w:top w:val="single" w:color="000000" w:sz="4"/>
              <w:left w:val="single" w:color="000000" w:sz="4"/>
              <w:bottom w:val="single" w:color="000000" w:sz="4"/>
              <w:right w:val="single" w:color="000000" w:sz="4"/>
            </w:tcBorders>
            <w:vAlign w:val="top"/>
          </w:tcPr>
          <w:p>
            <w:pPr>
              <w:jc w:val="center"/>
            </w:pPr>
            <w:r>
              <w:rPr>
                <w:sz w:val="21"/>
              </w:rPr>
              <w:t>评分标准</w:t>
            </w:r>
          </w:p>
        </w:tc>
        <w:tc>
          <w:tcPr>
            <w:tcW w:type="dxa" w:w="561"/>
            <w:tcBorders>
              <w:top w:val="single" w:color="000000" w:sz="4"/>
              <w:left w:val="single" w:color="000000" w:sz="4"/>
              <w:bottom w:val="single" w:color="000000" w:sz="4"/>
              <w:right w:val="single" w:color="000000" w:sz="4"/>
            </w:tcBorders>
            <w:vAlign w:val="top"/>
          </w:tcPr>
          <w:p>
            <w:pPr>
              <w:jc w:val="center"/>
            </w:pPr>
            <w:r>
              <w:rPr>
                <w:sz w:val="21"/>
              </w:rPr>
              <w:t>检查</w:t>
            </w:r>
            <w:r>
              <w:rPr>
                <w:sz w:val="21"/>
              </w:rPr>
              <w:t>情况</w:t>
            </w:r>
          </w:p>
        </w:tc>
      </w:tr>
      <w:tr>
        <w:tc>
          <w:tcPr>
            <w:tcW w:type="dxa" w:w="717"/>
            <w:vMerge w:val="restart"/>
            <w:tcBorders>
              <w:top w:val="none" w:color="000000" w:sz="4"/>
              <w:left w:val="single" w:color="000000" w:sz="4"/>
              <w:bottom w:val="single" w:color="000000" w:sz="4"/>
              <w:right w:val="single" w:color="000000" w:sz="4"/>
            </w:tcBorders>
            <w:vAlign w:val="top"/>
          </w:tcPr>
          <w:p>
            <w:pPr>
              <w:jc w:val="center"/>
            </w:pPr>
            <w:r>
              <w:rPr>
                <w:sz w:val="21"/>
              </w:rPr>
              <w:t>饭菜质量</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鲜肉、大米、油、面粉、豆类、佐料等食品原料必须从正规渠道进货，所购材料必须有供货方的卫生合格证或销售许可证。</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蔬菜、鱼类要求新鲜、洁净无污染。来源应当于受到地方政府部门监管的自有基地、商品菜基地或专业流通市场。</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饭堂采购的不需要加工食品必须达到卫生标准要求，标有生产日期及保质期限，无霉变、异味现象。</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2分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食品食物中出现杂物、不熟现象</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2分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中、晚餐荤、素营养搭配按甲方要求</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一项不合格扣</w:t>
            </w:r>
            <w:r>
              <w:rPr>
                <w:sz w:val="21"/>
              </w:rPr>
              <w:t>3分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val="restart"/>
            <w:tcBorders>
              <w:top w:val="none" w:color="000000" w:sz="4"/>
              <w:left w:val="single" w:color="000000" w:sz="4"/>
              <w:bottom w:val="single" w:color="000000" w:sz="4"/>
              <w:right w:val="single" w:color="000000" w:sz="4"/>
            </w:tcBorders>
            <w:vAlign w:val="top"/>
          </w:tcPr>
          <w:p>
            <w:pPr>
              <w:jc w:val="center"/>
            </w:pPr>
            <w:r>
              <w:rPr>
                <w:sz w:val="21"/>
              </w:rPr>
              <w:t>服务质量</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饭堂工作人员必须持有效的健康证上岗，定时检查。在加工及出售食品时需穿戴整洁的工作服、工作帽并将头发置于帽内，并挂牌上岗。</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无健康证并定期检查</w:t>
            </w:r>
            <w:r>
              <w:rPr>
                <w:sz w:val="21"/>
              </w:rPr>
              <w:t>1人扣2分，未按要求着装1人扣1分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饭堂工作人员必须保持整洁，双手干净，操作食品时禁止吸烟、对食品打喷嚏等不卫生行为。</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发现一次扣</w:t>
            </w:r>
            <w:r>
              <w:rPr>
                <w:sz w:val="21"/>
              </w:rPr>
              <w:t>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出售食品时不能用手直接接触食品。</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发现一次扣</w:t>
            </w:r>
            <w:r>
              <w:rPr>
                <w:sz w:val="21"/>
              </w:rPr>
              <w:t>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饭堂工作人员需耐心解答、微笑服务，不得发生争吵、打骂等不文明行为，有问题反映相关管理部门解决。</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发现</w:t>
            </w:r>
            <w:r>
              <w:rPr>
                <w:sz w:val="21"/>
              </w:rPr>
              <w:t>1人不文明行为扣2分。有人举报1人次扣5分。如出现恶劣事件，甲方将根据造成的影响对当期考核结果做出调整</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按甲方规定时间开餐</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不符合要求的一次扣</w:t>
            </w:r>
            <w:r>
              <w:rPr>
                <w:sz w:val="21"/>
              </w:rPr>
              <w:t>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val="restart"/>
            <w:tcBorders>
              <w:top w:val="none" w:color="000000" w:sz="4"/>
              <w:left w:val="single" w:color="000000" w:sz="4"/>
              <w:bottom w:val="single" w:color="000000" w:sz="4"/>
              <w:right w:val="single" w:color="000000" w:sz="4"/>
            </w:tcBorders>
            <w:vAlign w:val="top"/>
          </w:tcPr>
          <w:p>
            <w:pPr>
              <w:jc w:val="center"/>
            </w:pPr>
            <w:r>
              <w:rPr>
                <w:sz w:val="21"/>
              </w:rPr>
              <w:t>卫生标准质量</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工作间无苍蝇、老鼠，防蝇、防鼠、防尘设备齐全、有效。</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发现苍蝇一次扣</w:t>
            </w:r>
            <w:r>
              <w:rPr>
                <w:sz w:val="21"/>
              </w:rPr>
              <w:t>2分、老鼠一次扣3分，无防蝇、防鼠、防尘设备扣2分。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原料、半成品、成品的加工、存放及使用容器是否存在交叉污染及使用容器是否存在交叉污染并有明显的区分标志，生、熟食品分开，食品存放分类分架，无过期、变质食品。</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存在交叉污染并无明显的区分标志扣</w:t>
            </w:r>
            <w:r>
              <w:rPr>
                <w:sz w:val="21"/>
              </w:rPr>
              <w:t>2分，生、熟食品未分开且食品存放没有分类分架扣3分。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工作间卫生清洁，地面干净、无积水、无杂物，操作台及灶台整洁。</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一项不清洁扣</w:t>
            </w:r>
            <w:r>
              <w:rPr>
                <w:sz w:val="21"/>
              </w:rPr>
              <w:t>2分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炊具餐具、菜具、熟食容器定期消毒并保持清洁，做到</w:t>
            </w:r>
            <w:r>
              <w:rPr>
                <w:sz w:val="21"/>
              </w:rPr>
              <w:t>“一洗二清三消毒四隔离。”</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不消毒作业扣</w:t>
            </w:r>
            <w:r>
              <w:rPr>
                <w:sz w:val="21"/>
              </w:rPr>
              <w:t>2分，不定期扣1分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751"/>
            <w:tcBorders>
              <w:top w:val="none" w:color="000000" w:sz="4"/>
              <w:left w:val="single" w:color="000000" w:sz="4"/>
              <w:bottom w:val="single" w:color="000000" w:sz="4"/>
              <w:right w:val="single" w:color="000000" w:sz="4"/>
            </w:tcBorders>
            <w:vAlign w:val="top"/>
          </w:tcPr>
          <w:p>
            <w:pPr>
              <w:jc w:val="left"/>
            </w:pPr>
            <w:r>
              <w:rPr>
                <w:sz w:val="21"/>
              </w:rPr>
              <w:t>饭堂应建立严格的安全保卫规定，严禁非饭堂人员随意进入食堂的食品加工操作间及原料仓库。</w:t>
            </w:r>
          </w:p>
        </w:tc>
        <w:tc>
          <w:tcPr>
            <w:tcW w:type="dxa" w:w="1395"/>
            <w:tcBorders>
              <w:top w:val="none" w:color="000000" w:sz="4"/>
              <w:left w:val="single" w:color="000000" w:sz="4"/>
              <w:bottom w:val="single" w:color="000000" w:sz="4"/>
              <w:right w:val="single" w:color="000000" w:sz="4"/>
            </w:tcBorders>
            <w:vAlign w:val="top"/>
          </w:tcPr>
          <w:p>
            <w:pPr>
              <w:jc w:val="left"/>
            </w:pPr>
            <w:r>
              <w:rPr>
                <w:sz w:val="21"/>
              </w:rPr>
              <w:t>不按规定执行扣</w:t>
            </w:r>
            <w:r>
              <w:rPr>
                <w:sz w:val="21"/>
              </w:rPr>
              <w:t>2分，发现非饭堂人员随意进入饭堂一次扣1分</w:t>
            </w:r>
          </w:p>
        </w:tc>
        <w:tc>
          <w:tcPr>
            <w:tcW w:type="dxa" w:w="561"/>
            <w:tcBorders>
              <w:top w:val="none" w:color="000000" w:sz="4"/>
              <w:left w:val="single" w:color="000000" w:sz="4"/>
              <w:bottom w:val="single" w:color="000000" w:sz="4"/>
              <w:right w:val="single" w:color="000000" w:sz="4"/>
            </w:tcBorders>
            <w:vAlign w:val="top"/>
          </w:tcPr>
          <w:p>
            <w:pPr>
              <w:jc w:val="left"/>
            </w:pPr>
          </w:p>
        </w:tc>
      </w:tr>
      <w:tr>
        <w:tc>
          <w:tcPr>
            <w:tcW w:type="dxa" w:w="717"/>
            <w:vMerge w:val="restart"/>
            <w:tcBorders>
              <w:top w:val="none" w:color="000000" w:sz="4"/>
              <w:left w:val="single" w:color="000000" w:sz="4"/>
              <w:bottom w:val="single" w:color="000000" w:sz="4"/>
              <w:right w:val="single" w:color="000000" w:sz="4"/>
            </w:tcBorders>
            <w:vAlign w:val="top"/>
          </w:tcPr>
          <w:p>
            <w:pPr>
              <w:jc w:val="left"/>
            </w:pPr>
            <w:r>
              <w:rPr>
                <w:sz w:val="21"/>
              </w:rPr>
              <w:t>其他</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p>
        </w:tc>
        <w:tc>
          <w:tcPr>
            <w:tcW w:type="dxa" w:w="2751"/>
            <w:tcBorders>
              <w:top w:val="none" w:color="000000" w:sz="4"/>
              <w:left w:val="none" w:color="000000" w:sz="4"/>
              <w:bottom w:val="single" w:color="000000" w:sz="4"/>
              <w:right w:val="single" w:color="000000" w:sz="4"/>
            </w:tcBorders>
            <w:vAlign w:val="top"/>
          </w:tcPr>
          <w:p>
            <w:pPr>
              <w:jc w:val="left"/>
            </w:pPr>
            <w:r>
              <w:rPr>
                <w:sz w:val="21"/>
              </w:rPr>
              <w:t>积极配合采购人的防疫政策。</w:t>
            </w:r>
          </w:p>
        </w:tc>
        <w:tc>
          <w:tcPr>
            <w:tcW w:type="dxa" w:w="1395"/>
            <w:tcBorders>
              <w:top w:val="none" w:color="000000" w:sz="4"/>
              <w:left w:val="none" w:color="000000" w:sz="4"/>
              <w:bottom w:val="single" w:color="000000" w:sz="4"/>
              <w:right w:val="single" w:color="000000" w:sz="4"/>
            </w:tcBorders>
            <w:vAlign w:val="top"/>
          </w:tcPr>
          <w:p>
            <w:pPr>
              <w:jc w:val="left"/>
            </w:pPr>
            <w:r>
              <w:rPr>
                <w:sz w:val="21"/>
              </w:rPr>
              <w:t>不配合采购人的防疫政策，扣</w:t>
            </w:r>
            <w:r>
              <w:rPr>
                <w:sz w:val="21"/>
              </w:rPr>
              <w:t>10分/次</w:t>
            </w:r>
          </w:p>
        </w:tc>
        <w:tc>
          <w:tcPr>
            <w:tcW w:type="dxa" w:w="561"/>
            <w:tcBorders>
              <w:top w:val="none" w:color="000000" w:sz="4"/>
              <w:left w:val="non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vAlign w:val="top"/>
          </w:tcPr>
          <w:p>
            <w:pPr>
              <w:jc w:val="center"/>
            </w:pPr>
            <w:r>
              <w:rPr>
                <w:sz w:val="21"/>
              </w:rPr>
              <w:t>2</w:t>
            </w:r>
          </w:p>
        </w:tc>
        <w:tc>
          <w:tcPr>
            <w:tcW w:type="dxa" w:w="2751"/>
            <w:tcBorders>
              <w:top w:val="none" w:color="000000" w:sz="4"/>
              <w:left w:val="none" w:color="000000" w:sz="4"/>
              <w:bottom w:val="single" w:color="000000" w:sz="4"/>
              <w:right w:val="single" w:color="000000" w:sz="4"/>
            </w:tcBorders>
            <w:vAlign w:val="top"/>
          </w:tcPr>
          <w:p>
            <w:pPr>
              <w:jc w:val="left"/>
            </w:pPr>
            <w:r>
              <w:rPr>
                <w:sz w:val="21"/>
              </w:rPr>
              <w:t>积极配合采购人对菜谱的调整。</w:t>
            </w:r>
          </w:p>
        </w:tc>
        <w:tc>
          <w:tcPr>
            <w:tcW w:type="dxa" w:w="1395"/>
            <w:tcBorders>
              <w:top w:val="none" w:color="000000" w:sz="4"/>
              <w:left w:val="none" w:color="000000" w:sz="4"/>
              <w:bottom w:val="single" w:color="000000" w:sz="4"/>
              <w:right w:val="single" w:color="000000" w:sz="4"/>
            </w:tcBorders>
            <w:vAlign w:val="top"/>
          </w:tcPr>
          <w:p>
            <w:pPr>
              <w:jc w:val="left"/>
            </w:pPr>
            <w:r>
              <w:rPr>
                <w:sz w:val="21"/>
              </w:rPr>
              <w:t>不配合采购人对菜谱的调整，扣</w:t>
            </w:r>
            <w:r>
              <w:rPr>
                <w:sz w:val="21"/>
              </w:rPr>
              <w:t>5分/次</w:t>
            </w:r>
          </w:p>
        </w:tc>
        <w:tc>
          <w:tcPr>
            <w:tcW w:type="dxa" w:w="561"/>
            <w:tcBorders>
              <w:top w:val="none" w:color="000000" w:sz="4"/>
              <w:left w:val="none" w:color="000000" w:sz="4"/>
              <w:bottom w:val="single" w:color="000000" w:sz="4"/>
              <w:right w:val="single" w:color="000000" w:sz="4"/>
            </w:tcBorders>
            <w:vAlign w:val="top"/>
          </w:tcPr>
          <w:p>
            <w:pPr>
              <w:jc w:val="left"/>
            </w:pPr>
          </w:p>
        </w:tc>
      </w:tr>
      <w:tr>
        <w:tc>
          <w:tcPr>
            <w:tcW w:type="dxa" w:w="717"/>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vAlign w:val="top"/>
          </w:tcPr>
          <w:p>
            <w:pPr>
              <w:jc w:val="center"/>
            </w:pPr>
            <w:r>
              <w:rPr>
                <w:sz w:val="21"/>
              </w:rPr>
              <w:t>3</w:t>
            </w:r>
          </w:p>
        </w:tc>
        <w:tc>
          <w:tcPr>
            <w:tcW w:type="dxa" w:w="2751"/>
            <w:tcBorders>
              <w:top w:val="none" w:color="000000" w:sz="4"/>
              <w:left w:val="none" w:color="000000" w:sz="4"/>
              <w:bottom w:val="single" w:color="000000" w:sz="4"/>
              <w:right w:val="single" w:color="000000" w:sz="4"/>
            </w:tcBorders>
            <w:vAlign w:val="top"/>
          </w:tcPr>
          <w:p>
            <w:pPr>
              <w:jc w:val="left"/>
            </w:pPr>
            <w:r>
              <w:rPr>
                <w:sz w:val="21"/>
              </w:rPr>
              <w:t>根据采购人的要求组织加餐或聚餐等活动（如有）。</w:t>
            </w:r>
          </w:p>
        </w:tc>
        <w:tc>
          <w:tcPr>
            <w:tcW w:type="dxa" w:w="1395"/>
            <w:tcBorders>
              <w:top w:val="none" w:color="000000" w:sz="4"/>
              <w:left w:val="none" w:color="000000" w:sz="4"/>
              <w:bottom w:val="single" w:color="000000" w:sz="4"/>
              <w:right w:val="single" w:color="000000" w:sz="4"/>
            </w:tcBorders>
            <w:vAlign w:val="top"/>
          </w:tcPr>
          <w:p>
            <w:pPr>
              <w:jc w:val="left"/>
            </w:pPr>
            <w:r>
              <w:rPr>
                <w:sz w:val="21"/>
              </w:rPr>
              <w:t>未能根据采购人的要求组织加餐或聚餐等活动，扣</w:t>
            </w:r>
            <w:r>
              <w:rPr>
                <w:sz w:val="21"/>
              </w:rPr>
              <w:t>5分/次</w:t>
            </w:r>
          </w:p>
        </w:tc>
        <w:tc>
          <w:tcPr>
            <w:tcW w:type="dxa" w:w="561"/>
            <w:tcBorders>
              <w:top w:val="none" w:color="000000" w:sz="4"/>
              <w:left w:val="none" w:color="000000" w:sz="4"/>
              <w:bottom w:val="single" w:color="000000" w:sz="4"/>
              <w:right w:val="single" w:color="000000" w:sz="4"/>
            </w:tcBorders>
            <w:vAlign w:val="top"/>
          </w:tcPr>
          <w:p>
            <w:pPr>
              <w:jc w:val="left"/>
            </w:pPr>
          </w:p>
        </w:tc>
      </w:tr>
      <w:tr>
        <w:tc>
          <w:tcPr>
            <w:tcW w:type="dxa" w:w="4146"/>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395"/>
            <w:tcBorders>
              <w:top w:val="none" w:color="000000" w:sz="4"/>
              <w:left w:val="none" w:color="000000" w:sz="4"/>
              <w:bottom w:val="single" w:color="000000" w:sz="4"/>
              <w:right w:val="single" w:color="000000" w:sz="4"/>
            </w:tcBorders>
            <w:vAlign w:val="top"/>
          </w:tcPr>
          <w:p>
            <w:pPr>
              <w:jc w:val="left"/>
            </w:pPr>
          </w:p>
        </w:tc>
        <w:tc>
          <w:tcPr>
            <w:tcW w:type="dxa" w:w="561"/>
            <w:tcBorders>
              <w:top w:val="none" w:color="000000" w:sz="4"/>
              <w:left w:val="none" w:color="000000" w:sz="4"/>
              <w:bottom w:val="single" w:color="000000" w:sz="4"/>
              <w:right w:val="single" w:color="000000" w:sz="4"/>
            </w:tcBorders>
            <w:vAlign w:val="top"/>
          </w:tcPr>
          <w:p>
            <w:pPr>
              <w:jc w:val="left"/>
            </w:pPr>
          </w:p>
        </w:tc>
      </w:tr>
      <w:tr>
        <w:tc>
          <w:tcPr>
            <w:tcW w:type="dxa" w:w="4146"/>
            <w:gridSpan w:val="3"/>
            <w:tcBorders>
              <w:top w:val="none" w:color="000000" w:sz="4"/>
              <w:left w:val="single" w:color="000000" w:sz="4"/>
              <w:bottom w:val="single" w:color="000000" w:sz="4"/>
              <w:right w:val="single" w:color="000000" w:sz="4"/>
            </w:tcBorders>
            <w:vAlign w:val="top"/>
          </w:tcPr>
          <w:p>
            <w:pPr>
              <w:jc w:val="center"/>
            </w:pPr>
            <w:r>
              <w:rPr>
                <w:sz w:val="21"/>
              </w:rPr>
              <w:t>最终得分</w:t>
            </w:r>
          </w:p>
        </w:tc>
        <w:tc>
          <w:tcPr>
            <w:tcW w:type="dxa" w:w="1956"/>
            <w:gridSpan w:val="2"/>
            <w:tcBorders>
              <w:top w:val="none" w:color="000000" w:sz="4"/>
              <w:left w:val="none" w:color="000000" w:sz="4"/>
              <w:bottom w:val="single" w:color="000000" w:sz="4"/>
              <w:right w:val="single" w:color="000000" w:sz="4"/>
            </w:tcBorders>
            <w:vAlign w:val="top"/>
          </w:tcPr>
          <w:p>
            <w:pPr>
              <w:jc w:val="left"/>
            </w:pPr>
          </w:p>
        </w:tc>
      </w:tr>
    </w:tbl>
    <w:p>
      <w:pPr>
        <w:jc w:val="both"/>
      </w:pPr>
    </w:p>
    <w:p>
      <w:r>
        <w:rPr>
          <w:b/>
          <w:sz w:val="21"/>
        </w:rPr>
        <w:t>附件</w:t>
      </w:r>
      <w:r>
        <w:rPr>
          <w:b/>
          <w:sz w:val="21"/>
        </w:rPr>
        <w:t>2</w:t>
      </w:r>
      <w:r>
        <w:rPr>
          <w:b/>
          <w:sz w:val="21"/>
        </w:rPr>
        <w:t>、《报价清单明细表》</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440601-2023-00709</w:t>
      </w:r>
    </w:p>
    <w:p>
      <w:pPr>
        <w:jc w:val="center"/>
      </w:pPr>
      <w:r>
        <w:rPr>
          <w:b/>
          <w:sz w:val="24"/>
        </w:rPr>
        <w:t>采购项目编号：</w:t>
      </w:r>
      <w:r>
        <w:rPr>
          <w:b/>
          <w:sz w:val="24"/>
        </w:rPr>
        <w:t>XY0122066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佛山市精神病治疗所2023年膳食服务采购项目</w:t>
      </w:r>
      <w:r>
        <w:rPr>
          <w:u w:val="single"/>
        </w:rPr>
        <w:t>”</w:t>
      </w:r>
      <w:r>
        <w:rPr/>
        <w:t>项目的竞争性磋商[采购项目编号为：</w:t>
      </w:r>
      <w:r>
        <w:rPr>
          <w:u w:val="single"/>
        </w:rPr>
        <w:t>XY0122066</w:t>
      </w:r>
      <w:r>
        <w:rPr/>
        <w:t>]，我方愿参与响应。</w:t>
      </w:r>
    </w:p>
    <w:p>
      <w:pPr>
        <w:ind w:firstLine="480"/>
      </w:pPr>
      <w:r>
        <w:rPr/>
        <w:t>我方确认收到贵方提供的</w:t>
      </w:r>
      <w:r>
        <w:rPr>
          <w:u w:val="single"/>
        </w:rPr>
        <w:t>“</w:t>
      </w:r>
      <w:r>
        <w:rPr>
          <w:u w:val="single"/>
        </w:rPr>
        <w:t>佛山市精神病治疗所2023年膳食服务采购项目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佛山市精神病治疗所2023年膳食服务采购项目</w:t>
      </w:r>
      <w:r>
        <w:rPr/>
        <w:t>”项目采购[采购项目编号为</w:t>
      </w:r>
      <w:r>
        <w:rPr/>
        <w:t>XY0122066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佛山市精神病治疗所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佛山市精神病治疗所2023年膳食服务采购项目</w:t>
      </w:r>
      <w:r>
        <w:rPr/>
        <w:t>（采购项目编号：</w:t>
      </w:r>
      <w:r>
        <w:rPr/>
        <w:t>XY0122066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佛山市精神病治疗所2023年膳食服务采购项目</w:t>
      </w:r>
      <w:r>
        <w:rPr/>
        <w:t>”项目（采购项目编号：</w:t>
      </w:r>
      <w:r>
        <w:rPr/>
        <w:t>XY0122066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