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440001-2022-30216</w:t>
      </w:r>
    </w:p>
    <w:p>
      <w:pPr>
        <w:jc w:val="center"/>
      </w:pPr>
      <w:r>
        <w:rPr>
          <w:b/>
          <w:sz w:val="24"/>
        </w:rPr>
        <w:t>采购项目编号：</w:t>
      </w:r>
      <w:r>
        <w:rPr>
          <w:b/>
          <w:sz w:val="24"/>
        </w:rPr>
        <w:t>440001-2022-30216</w:t>
      </w:r>
    </w:p>
    <w:p>
      <w:pPr>
        <w:jc w:val="center"/>
      </w:pPr>
      <w:r>
        <w:rPr>
          <w:b/>
          <w:sz w:val="24"/>
        </w:rPr>
        <w:t>项目名称：</w:t>
      </w:r>
      <w:r>
        <w:rPr>
          <w:b/>
          <w:sz w:val="24"/>
        </w:rPr>
        <w:t>佛山市质量计量监督检测中心2022年度质量检测能力提升设备采购项目（一）(二次)</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佛山市质量计量监督检测中心2022年度质量检测能力提升设备采购项目（一）(二次)</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佛山市质量计量监督检测中心2022年度质量检测能力提升设备采购项目（一）(二次)</w:t>
      </w:r>
    </w:p>
    <w:p>
      <w:pPr>
        <w:ind w:firstLine="480"/>
      </w:pPr>
      <w:r>
        <w:rPr/>
        <w:t>采购计划编号：</w:t>
      </w:r>
      <w:r>
        <w:rPr/>
        <w:t>440001-2022-30216</w:t>
      </w:r>
    </w:p>
    <w:p>
      <w:pPr>
        <w:ind w:firstLine="480"/>
      </w:pPr>
      <w:r>
        <w:rPr/>
        <w:t>采购项目编号：</w:t>
      </w:r>
      <w:r>
        <w:rPr/>
        <w:t>440001-2022-30216</w:t>
      </w:r>
    </w:p>
    <w:p>
      <w:pPr>
        <w:ind w:firstLine="480"/>
      </w:pPr>
      <w:r>
        <w:rPr/>
        <w:t>采购方式：</w:t>
      </w:r>
      <w:r>
        <w:rPr/>
        <w:t>公开招标</w:t>
      </w:r>
    </w:p>
    <w:p>
      <w:pPr>
        <w:ind w:firstLine="480"/>
      </w:pPr>
      <w:r>
        <w:rPr/>
        <w:t>预算金额：</w:t>
      </w:r>
      <w:r>
        <w:rPr/>
        <w:t>472,000.00</w:t>
      </w:r>
      <w:r>
        <w:rPr/>
        <w:t>元</w:t>
      </w:r>
    </w:p>
    <w:p>
      <w:r>
        <w:rPr>
          <w:b/>
          <w:sz w:val="24"/>
        </w:rPr>
        <w:t>2.项目内容及需求情况（采购项目技术规格、参数及要求）</w:t>
      </w:r>
    </w:p>
    <w:p>
      <w:pPr>
        <w:ind w:firstLine="480"/>
      </w:pPr>
    </w:p>
    <w:p/>
    <w:p>
      <w:r>
        <w:rPr/>
        <w:t>采购包1(大功率可编程交流电源、制动衬片剪切强度试验机):</w:t>
      </w:r>
    </w:p>
    <w:p>
      <w:r>
        <w:rPr/>
        <w:t>采购包预算金额：472,000.00元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交流电源</w:t>
            </w:r>
          </w:p>
        </w:tc>
        <w:tc>
          <w:tcPr>
            <w:tcW w:type="dxa" w:w="2136"/>
          </w:tcPr>
          <w:p>
            <w:r>
              <w:rPr/>
              <w:t>大功率可编程交流电源</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其他试验机</w:t>
            </w:r>
          </w:p>
        </w:tc>
        <w:tc>
          <w:tcPr>
            <w:tcW w:type="dxa" w:w="2136"/>
          </w:tcPr>
          <w:p>
            <w:r>
              <w:rPr/>
              <w:t>制动衬片剪切强度试验机</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2）有依法缴纳税收和社会保障资金的良好记录：提供投标文件递交截止日前6个月内任意1个月缴纳税收和社会保险的凭据证明材料扫描件；如依法免税或不需要缴纳社会保障资金的，提供相应证明材料。</w:t>
      </w:r>
    </w:p>
    <w:p/>
    <w:p>
      <w:r>
        <w:rPr/>
        <w:t>3）具有良好的商业信誉和健全的财务会计制度：提供2020年度或2021年度财务状况报告或投标文件递交截止日前6个月内任意1个月的财务状况报告扫描件，或基本开户行出具的资信证明扫描件。</w:t>
      </w:r>
    </w:p>
    <w:p/>
    <w:p>
      <w:r>
        <w:rPr/>
        <w:t>4）履行合同所必需的设备和专业技术能力：按投标（响应）文件格式填报设备及专业技术能力情况。</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采购包1（大功率可编程交流电源、制动衬片剪切强度试验机）：</w:t>
      </w:r>
      <w:r>
        <w:rPr/>
        <w:t>采购包整体专门面向中小微企业。供应商须为符合划分标准的中小微企业（监狱企业、残疾人福利单位视同小型、微型企业）。本项目行业为：工业。中小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采购包1（大功率可编程交流电源、制动衬片剪切强度试验机）：</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覃先生</w:t>
      </w:r>
    </w:p>
    <w:p>
      <w:pPr>
        <w:ind w:firstLine="480"/>
      </w:pPr>
      <w:r>
        <w:rPr/>
        <w:t>电话：</w:t>
      </w:r>
      <w:r>
        <w:rPr/>
        <w:t>0757-83279001、0757-83279081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r>
        <w:rPr>
          <w:b/>
          <w:sz w:val="21"/>
        </w:rPr>
        <w:t xml:space="preserve"> </w:t>
      </w: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451"/>
        <w:gridCol w:w="2302"/>
        <w:gridCol w:w="1179"/>
        <w:gridCol w:w="1214"/>
        <w:gridCol w:w="832"/>
        <w:gridCol w:w="1619"/>
        <w:gridCol w:w="659"/>
      </w:tblGrid>
      <w:tr>
        <w:tc>
          <w:tcPr>
            <w:tcW w:type="dxa" w:w="45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02"/>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179"/>
            <w:tcBorders>
              <w:top w:val="single" w:color="000000" w:sz="4"/>
              <w:left w:val="single" w:color="000000" w:sz="4"/>
              <w:bottom w:val="single" w:color="000000" w:sz="4"/>
              <w:right w:val="single" w:color="000000" w:sz="4"/>
            </w:tcBorders>
            <w:vAlign w:val="top"/>
          </w:tcPr>
          <w:p>
            <w:pPr>
              <w:jc w:val="center"/>
            </w:pPr>
            <w:r>
              <w:rPr>
                <w:sz w:val="21"/>
              </w:rPr>
              <w:t>★最高限价</w:t>
            </w:r>
          </w:p>
          <w:p>
            <w:pPr>
              <w:jc w:val="center"/>
            </w:pPr>
            <w:r>
              <w:rPr>
                <w:sz w:val="21"/>
              </w:rPr>
              <w:t>（人民币</w:t>
            </w:r>
            <w:r>
              <w:rPr>
                <w:sz w:val="21"/>
              </w:rPr>
              <w:t>元）</w:t>
            </w:r>
          </w:p>
        </w:tc>
        <w:tc>
          <w:tcPr>
            <w:tcW w:type="dxa" w:w="1214"/>
            <w:tcBorders>
              <w:top w:val="single" w:color="000000" w:sz="4"/>
              <w:left w:val="single" w:color="000000" w:sz="4"/>
              <w:bottom w:val="single" w:color="000000" w:sz="4"/>
              <w:right w:val="single" w:color="000000" w:sz="4"/>
            </w:tcBorders>
            <w:vAlign w:val="top"/>
          </w:tcPr>
          <w:p>
            <w:pPr>
              <w:jc w:val="center"/>
            </w:pPr>
            <w:r>
              <w:rPr>
                <w:sz w:val="21"/>
              </w:rPr>
              <w:t>★最高单价限价（人民币 元）</w:t>
            </w:r>
          </w:p>
        </w:tc>
        <w:tc>
          <w:tcPr>
            <w:tcW w:type="dxa" w:w="832"/>
            <w:tcBorders>
              <w:top w:val="single" w:color="000000" w:sz="4"/>
              <w:left w:val="single" w:color="000000" w:sz="4"/>
              <w:bottom w:val="single" w:color="000000" w:sz="4"/>
              <w:right w:val="single" w:color="000000" w:sz="4"/>
            </w:tcBorders>
            <w:vAlign w:val="top"/>
          </w:tcPr>
          <w:p>
            <w:pPr>
              <w:jc w:val="center"/>
            </w:pPr>
            <w:r>
              <w:rPr>
                <w:sz w:val="21"/>
              </w:rPr>
              <w:t>数量（单位）</w:t>
            </w:r>
          </w:p>
        </w:tc>
        <w:tc>
          <w:tcPr>
            <w:tcW w:type="dxa" w:w="1619"/>
            <w:tcBorders>
              <w:top w:val="single" w:color="000000" w:sz="4"/>
              <w:left w:val="single" w:color="000000" w:sz="4"/>
              <w:bottom w:val="single" w:color="000000" w:sz="4"/>
              <w:right w:val="single" w:color="000000" w:sz="4"/>
            </w:tcBorders>
            <w:vAlign w:val="top"/>
          </w:tcPr>
          <w:p>
            <w:pPr>
              <w:jc w:val="center"/>
            </w:pPr>
            <w:r>
              <w:rPr>
                <w:sz w:val="21"/>
              </w:rPr>
              <w:t>交货期（</w:t>
            </w:r>
            <w:r>
              <w:rPr>
                <w:sz w:val="21"/>
              </w:rPr>
              <w:t>安装调试完成并经验收合格</w:t>
            </w:r>
            <w:r>
              <w:rPr>
                <w:sz w:val="21"/>
              </w:rPr>
              <w:t>）</w:t>
            </w:r>
          </w:p>
        </w:tc>
        <w:tc>
          <w:tcPr>
            <w:tcW w:type="dxa" w:w="659"/>
            <w:tcBorders>
              <w:top w:val="single" w:color="000000" w:sz="4"/>
              <w:left w:val="single" w:color="000000" w:sz="4"/>
              <w:bottom w:val="single" w:color="000000" w:sz="4"/>
              <w:right w:val="single" w:color="000000" w:sz="4"/>
            </w:tcBorders>
            <w:vAlign w:val="top"/>
          </w:tcPr>
          <w:p>
            <w:pPr>
              <w:jc w:val="center"/>
            </w:pPr>
            <w:r>
              <w:rPr>
                <w:sz w:val="21"/>
              </w:rPr>
              <w:t>质保期</w:t>
            </w:r>
          </w:p>
        </w:tc>
      </w:tr>
      <w:tr>
        <w:tc>
          <w:tcPr>
            <w:tcW w:type="dxa" w:w="451"/>
            <w:tcBorders>
              <w:top w:val="none" w:color="000000" w:sz="4"/>
              <w:left w:val="single" w:color="000000" w:sz="4"/>
              <w:bottom w:val="single" w:color="000000" w:sz="4"/>
              <w:right w:val="single" w:color="000000" w:sz="4"/>
            </w:tcBorders>
            <w:vAlign w:val="top"/>
          </w:tcPr>
          <w:p>
            <w:r>
              <w:rPr>
                <w:sz w:val="21"/>
              </w:rPr>
              <w:t>1</w:t>
            </w:r>
          </w:p>
        </w:tc>
        <w:tc>
          <w:tcPr>
            <w:tcW w:type="dxa" w:w="2302"/>
            <w:tcBorders>
              <w:top w:val="none" w:color="000000" w:sz="4"/>
              <w:left w:val="single" w:color="000000" w:sz="4"/>
              <w:bottom w:val="single" w:color="000000" w:sz="4"/>
              <w:right w:val="single" w:color="000000" w:sz="4"/>
            </w:tcBorders>
            <w:vAlign w:val="top"/>
          </w:tcPr>
          <w:p>
            <w:r>
              <w:rPr>
                <w:sz w:val="21"/>
              </w:rPr>
              <w:t>大功率可编程交流电源</w:t>
            </w:r>
          </w:p>
        </w:tc>
        <w:tc>
          <w:tcPr>
            <w:tcW w:type="dxa" w:w="1179"/>
            <w:tcBorders>
              <w:top w:val="none" w:color="000000" w:sz="4"/>
              <w:left w:val="single" w:color="000000" w:sz="4"/>
              <w:bottom w:val="single" w:color="000000" w:sz="4"/>
              <w:right w:val="single" w:color="000000" w:sz="4"/>
            </w:tcBorders>
            <w:vAlign w:val="top"/>
          </w:tcPr>
          <w:p>
            <w:r>
              <w:rPr>
                <w:sz w:val="21"/>
              </w:rPr>
              <w:t>330,000.00</w:t>
            </w:r>
          </w:p>
        </w:tc>
        <w:tc>
          <w:tcPr>
            <w:tcW w:type="dxa" w:w="1214"/>
            <w:tcBorders>
              <w:top w:val="none" w:color="000000" w:sz="4"/>
              <w:left w:val="single" w:color="000000" w:sz="4"/>
              <w:bottom w:val="single" w:color="000000" w:sz="4"/>
              <w:right w:val="single" w:color="000000" w:sz="4"/>
            </w:tcBorders>
            <w:vAlign w:val="top"/>
          </w:tcPr>
          <w:p>
            <w:r>
              <w:rPr>
                <w:sz w:val="21"/>
              </w:rPr>
              <w:t>330,000.00</w:t>
            </w:r>
          </w:p>
        </w:tc>
        <w:tc>
          <w:tcPr>
            <w:tcW w:type="dxa" w:w="832"/>
            <w:tcBorders>
              <w:top w:val="none" w:color="000000" w:sz="4"/>
              <w:left w:val="single" w:color="000000" w:sz="4"/>
              <w:bottom w:val="single" w:color="000000" w:sz="4"/>
              <w:right w:val="single" w:color="000000" w:sz="4"/>
            </w:tcBorders>
            <w:vAlign w:val="top"/>
          </w:tcPr>
          <w:p>
            <w:r>
              <w:rPr>
                <w:sz w:val="21"/>
              </w:rPr>
              <w:t>1台</w:t>
            </w:r>
          </w:p>
        </w:tc>
        <w:tc>
          <w:tcPr>
            <w:tcW w:type="dxa" w:w="1619"/>
            <w:tcBorders>
              <w:top w:val="none" w:color="000000" w:sz="4"/>
              <w:left w:val="single" w:color="000000" w:sz="4"/>
              <w:bottom w:val="single" w:color="000000" w:sz="4"/>
              <w:right w:val="single" w:color="000000" w:sz="4"/>
            </w:tcBorders>
            <w:vAlign w:val="top"/>
          </w:tcPr>
          <w:p>
            <w:r>
              <w:rPr>
                <w:sz w:val="21"/>
              </w:rPr>
              <w:t>45天</w:t>
            </w:r>
          </w:p>
        </w:tc>
        <w:tc>
          <w:tcPr>
            <w:tcW w:type="dxa" w:w="659"/>
            <w:tcBorders>
              <w:top w:val="none" w:color="000000" w:sz="4"/>
              <w:left w:val="single" w:color="000000" w:sz="4"/>
              <w:bottom w:val="single" w:color="000000" w:sz="4"/>
              <w:right w:val="single" w:color="000000" w:sz="4"/>
            </w:tcBorders>
            <w:vAlign w:val="top"/>
          </w:tcPr>
          <w:p>
            <w:r>
              <w:rPr>
                <w:sz w:val="21"/>
              </w:rPr>
              <w:t>1年</w:t>
            </w:r>
          </w:p>
        </w:tc>
      </w:tr>
      <w:tr>
        <w:tc>
          <w:tcPr>
            <w:tcW w:type="dxa" w:w="451"/>
            <w:tcBorders>
              <w:top w:val="none" w:color="000000" w:sz="4"/>
              <w:left w:val="single" w:color="000000" w:sz="4"/>
              <w:bottom w:val="single" w:color="000000" w:sz="4"/>
              <w:right w:val="single" w:color="000000" w:sz="4"/>
            </w:tcBorders>
            <w:vAlign w:val="top"/>
          </w:tcPr>
          <w:p>
            <w:r>
              <w:rPr>
                <w:sz w:val="21"/>
              </w:rPr>
              <w:t>2</w:t>
            </w:r>
          </w:p>
        </w:tc>
        <w:tc>
          <w:tcPr>
            <w:tcW w:type="dxa" w:w="2302"/>
            <w:tcBorders>
              <w:top w:val="none" w:color="000000" w:sz="4"/>
              <w:left w:val="single" w:color="000000" w:sz="4"/>
              <w:bottom w:val="single" w:color="000000" w:sz="4"/>
              <w:right w:val="single" w:color="000000" w:sz="4"/>
            </w:tcBorders>
            <w:vAlign w:val="top"/>
          </w:tcPr>
          <w:p>
            <w:r>
              <w:rPr>
                <w:sz w:val="21"/>
              </w:rPr>
              <w:t>制动衬片剪切强度试验机</w:t>
            </w:r>
          </w:p>
        </w:tc>
        <w:tc>
          <w:tcPr>
            <w:tcW w:type="dxa" w:w="1179"/>
            <w:tcBorders>
              <w:top w:val="none" w:color="000000" w:sz="4"/>
              <w:left w:val="single" w:color="000000" w:sz="4"/>
              <w:bottom w:val="single" w:color="000000" w:sz="4"/>
              <w:right w:val="single" w:color="000000" w:sz="4"/>
            </w:tcBorders>
            <w:vAlign w:val="top"/>
          </w:tcPr>
          <w:p>
            <w:r>
              <w:rPr>
                <w:sz w:val="21"/>
              </w:rPr>
              <w:t>103,000.00</w:t>
            </w:r>
          </w:p>
        </w:tc>
        <w:tc>
          <w:tcPr>
            <w:tcW w:type="dxa" w:w="1214"/>
            <w:tcBorders>
              <w:top w:val="none" w:color="000000" w:sz="4"/>
              <w:left w:val="single" w:color="000000" w:sz="4"/>
              <w:bottom w:val="single" w:color="000000" w:sz="4"/>
              <w:right w:val="single" w:color="000000" w:sz="4"/>
            </w:tcBorders>
            <w:vAlign w:val="top"/>
          </w:tcPr>
          <w:p>
            <w:r>
              <w:rPr>
                <w:sz w:val="21"/>
              </w:rPr>
              <w:t>103,000.00</w:t>
            </w:r>
          </w:p>
        </w:tc>
        <w:tc>
          <w:tcPr>
            <w:tcW w:type="dxa" w:w="832"/>
            <w:tcBorders>
              <w:top w:val="none" w:color="000000" w:sz="4"/>
              <w:left w:val="single" w:color="000000" w:sz="4"/>
              <w:bottom w:val="single" w:color="000000" w:sz="4"/>
              <w:right w:val="single" w:color="000000" w:sz="4"/>
            </w:tcBorders>
            <w:vAlign w:val="top"/>
          </w:tcPr>
          <w:p>
            <w:r>
              <w:rPr>
                <w:sz w:val="21"/>
              </w:rPr>
              <w:t>1套</w:t>
            </w:r>
          </w:p>
        </w:tc>
        <w:tc>
          <w:tcPr>
            <w:tcW w:type="dxa" w:w="1619"/>
            <w:tcBorders>
              <w:top w:val="none" w:color="000000" w:sz="4"/>
              <w:left w:val="single" w:color="000000" w:sz="4"/>
              <w:bottom w:val="single" w:color="000000" w:sz="4"/>
              <w:right w:val="single" w:color="000000" w:sz="4"/>
            </w:tcBorders>
            <w:vAlign w:val="top"/>
          </w:tcPr>
          <w:p>
            <w:r>
              <w:rPr>
                <w:sz w:val="21"/>
              </w:rPr>
              <w:t>90天</w:t>
            </w:r>
          </w:p>
        </w:tc>
        <w:tc>
          <w:tcPr>
            <w:tcW w:type="dxa" w:w="659"/>
            <w:tcBorders>
              <w:top w:val="none" w:color="000000" w:sz="4"/>
              <w:left w:val="single" w:color="000000" w:sz="4"/>
              <w:bottom w:val="single" w:color="000000" w:sz="4"/>
              <w:right w:val="single" w:color="000000" w:sz="4"/>
            </w:tcBorders>
            <w:vAlign w:val="top"/>
          </w:tcPr>
          <w:p>
            <w:r>
              <w:rPr>
                <w:sz w:val="21"/>
              </w:rPr>
              <w:t>1年</w:t>
            </w:r>
          </w:p>
        </w:tc>
      </w:tr>
      <w:tr>
        <w:tc>
          <w:tcPr>
            <w:tcW w:type="dxa" w:w="2753"/>
            <w:gridSpan w:val="2"/>
            <w:tcBorders>
              <w:top w:val="none" w:color="000000" w:sz="4"/>
              <w:left w:val="single" w:color="000000" w:sz="4"/>
              <w:bottom w:val="single" w:color="000000" w:sz="4"/>
              <w:right w:val="single" w:color="000000" w:sz="4"/>
            </w:tcBorders>
            <w:vAlign w:val="top"/>
          </w:tcPr>
          <w:p>
            <w:pPr>
              <w:jc w:val="right"/>
            </w:pPr>
            <w:r>
              <w:rPr>
                <w:sz w:val="21"/>
              </w:rPr>
              <w:t>最高限价小计：</w:t>
            </w:r>
          </w:p>
        </w:tc>
        <w:tc>
          <w:tcPr>
            <w:tcW w:type="dxa" w:w="5503"/>
            <w:gridSpan w:val="5"/>
            <w:tcBorders>
              <w:top w:val="none" w:color="000000" w:sz="4"/>
              <w:left w:val="single" w:color="000000" w:sz="4"/>
              <w:bottom w:val="single" w:color="000000" w:sz="4"/>
              <w:right w:val="single" w:color="000000" w:sz="4"/>
            </w:tcBorders>
            <w:vAlign w:val="top"/>
          </w:tcPr>
          <w:p>
            <w:r>
              <w:rPr>
                <w:sz w:val="21"/>
              </w:rPr>
              <w:t>433,000.00</w:t>
            </w:r>
          </w:p>
        </w:tc>
      </w:tr>
    </w:tbl>
    <w:p>
      <w:pPr>
        <w:jc w:val="both"/>
      </w:pPr>
      <w:r>
        <w:rPr>
          <w:sz w:val="21"/>
        </w:rPr>
        <w:t>注：</w:t>
      </w:r>
    </w:p>
    <w:p>
      <w:pPr>
        <w:jc w:val="both"/>
      </w:pPr>
      <w:r>
        <w:rPr>
          <w:b/>
          <w:sz w:val="21"/>
        </w:rPr>
        <w:t>1.</w:t>
      </w:r>
      <w:r>
        <w:rPr>
          <w:b/>
          <w:sz w:val="21"/>
        </w:rPr>
        <w:t>因电子标系统不能调整招标文件内其他相应位置的</w:t>
      </w:r>
      <w:r>
        <w:rPr>
          <w:b/>
          <w:sz w:val="21"/>
        </w:rPr>
        <w:t>最高限价</w:t>
      </w:r>
      <w:r>
        <w:rPr>
          <w:b/>
          <w:sz w:val="21"/>
        </w:rPr>
        <w:t>与</w:t>
      </w:r>
      <w:r>
        <w:rPr>
          <w:b/>
          <w:sz w:val="21"/>
        </w:rPr>
        <w:t>最高单价</w:t>
      </w:r>
      <w:r>
        <w:rPr>
          <w:b/>
          <w:sz w:val="21"/>
        </w:rPr>
        <w:t>限价</w:t>
      </w:r>
      <w:r>
        <w:rPr>
          <w:b/>
          <w:sz w:val="21"/>
        </w:rPr>
        <w:t>，如招标文件内其余处与以上表格内容不一致的，本项目采购货物的最高限价以此表格为准，</w:t>
      </w:r>
      <w:r>
        <w:rPr>
          <w:b/>
          <w:sz w:val="21"/>
        </w:rPr>
        <w:t>超出此明细表最高限价的视为无效报价</w:t>
      </w:r>
      <w:r>
        <w:rPr>
          <w:b/>
          <w:sz w:val="21"/>
        </w:rPr>
        <w:t>！！！</w:t>
      </w:r>
    </w:p>
    <w:p>
      <w:pPr>
        <w:jc w:val="both"/>
      </w:pPr>
      <w:r>
        <w:rPr>
          <w:sz w:val="21"/>
        </w:rPr>
        <w:t>2.招标文件内所有涉及的规定、规范、标准，如有最新，以最新为准。</w:t>
      </w:r>
    </w:p>
    <w:p>
      <w:pPr>
        <w:jc w:val="both"/>
      </w:pPr>
      <w:r>
        <w:rPr>
          <w:sz w:val="21"/>
        </w:rPr>
        <w:t>3.货物所有功能必须能在同一时间下满足。</w:t>
      </w:r>
    </w:p>
    <w:p>
      <w:pPr>
        <w:jc w:val="both"/>
      </w:pPr>
      <w:r>
        <w:rPr>
          <w:sz w:val="21"/>
        </w:rPr>
        <w:t>政策要求</w:t>
      </w:r>
      <w:r>
        <w:rPr>
          <w:sz w:val="21"/>
        </w:rPr>
        <w:t>：</w:t>
      </w:r>
      <w:r>
        <w:rPr>
          <w:sz w:val="21"/>
        </w:rPr>
        <w:t>本项目采购货物如有列为强制节能产品，投标人对上述产品在投标时须附上该产品处于有效期内的节能产品认证证书等相关证明材料扫描件并加盖公章。</w:t>
      </w:r>
    </w:p>
    <w:p/>
    <w:p>
      <w:pPr>
        <w:ind w:firstLine="480"/>
      </w:pPr>
    </w:p>
    <w:p/>
    <w:p>
      <w:r>
        <w:rPr/>
        <w:t>采购包1（大功率可编程交流电源、制动衬片剪切强度试验机）：</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交流电源</w:t>
            </w:r>
          </w:p>
        </w:tc>
        <w:tc>
          <w:tcPr>
            <w:tcW w:type="dxa" w:w="1923"/>
          </w:tcPr>
          <w:p>
            <w:r>
              <w:rPr/>
              <w:t>大功率可编程交流电源</w:t>
            </w:r>
          </w:p>
        </w:tc>
        <w:tc>
          <w:tcPr>
            <w:tcW w:type="dxa" w:w="385"/>
          </w:tcPr>
          <w:p>
            <w:r>
              <w:rPr/>
              <w:t>台</w:t>
            </w:r>
          </w:p>
        </w:tc>
        <w:tc>
          <w:tcPr>
            <w:tcW w:type="dxa" w:w="769"/>
          </w:tcPr>
          <w:p>
            <w:pPr>
              <w:jc w:val="right"/>
            </w:pPr>
            <w:r>
              <w:rPr/>
              <w:t>1.0000</w:t>
            </w:r>
          </w:p>
        </w:tc>
        <w:tc>
          <w:tcPr>
            <w:tcW w:type="dxa" w:w="769"/>
          </w:tcPr>
          <w:p>
            <w:pPr>
              <w:jc w:val="right"/>
            </w:pPr>
            <w:r>
              <w:rPr/>
              <w:t>330,000.00</w:t>
            </w:r>
          </w:p>
        </w:tc>
        <w:tc>
          <w:tcPr>
            <w:tcW w:type="dxa" w:w="769"/>
          </w:tcPr>
          <w:p>
            <w:pPr>
              <w:jc w:val="right"/>
            </w:pPr>
            <w:r>
              <w:rPr/>
              <w:t>330,000.00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其他试验机</w:t>
            </w:r>
          </w:p>
        </w:tc>
        <w:tc>
          <w:tcPr>
            <w:tcW w:type="dxa" w:w="1923"/>
          </w:tcPr>
          <w:p>
            <w:r>
              <w:rPr/>
              <w:t>制动衬片剪切强度试验机</w:t>
            </w:r>
          </w:p>
        </w:tc>
        <w:tc>
          <w:tcPr>
            <w:tcW w:type="dxa" w:w="385"/>
          </w:tcPr>
          <w:p>
            <w:r>
              <w:rPr/>
              <w:t>套</w:t>
            </w:r>
          </w:p>
        </w:tc>
        <w:tc>
          <w:tcPr>
            <w:tcW w:type="dxa" w:w="769"/>
          </w:tcPr>
          <w:p>
            <w:pPr>
              <w:jc w:val="right"/>
            </w:pPr>
            <w:r>
              <w:rPr/>
              <w:t>1.0000</w:t>
            </w:r>
          </w:p>
        </w:tc>
        <w:tc>
          <w:tcPr>
            <w:tcW w:type="dxa" w:w="769"/>
          </w:tcPr>
          <w:p>
            <w:pPr>
              <w:jc w:val="right"/>
            </w:pPr>
            <w:r>
              <w:rPr/>
              <w:t>142,000.00</w:t>
            </w:r>
          </w:p>
        </w:tc>
        <w:tc>
          <w:tcPr>
            <w:tcW w:type="dxa" w:w="769"/>
          </w:tcPr>
          <w:p>
            <w:pPr>
              <w:jc w:val="right"/>
            </w:pPr>
            <w:r>
              <w:rPr/>
              <w:t>142,000.00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大功率可编程交流电源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一、满足标准：GB/T 14715\GB/T 7260.3\YD/T 1095\YD/T 2165</w:t>
            </w:r>
          </w:p>
        </w:tc>
      </w:tr>
      <w:tr>
        <w:tc>
          <w:tcPr>
            <w:tcW w:type="dxa" w:w="2076"/>
          </w:tcPr>
          <w:p>
            <w:r>
              <w:rPr/>
              <w:t>★</w:t>
            </w:r>
          </w:p>
        </w:tc>
        <w:tc>
          <w:tcPr>
            <w:tcW w:type="dxa" w:w="415"/>
          </w:tcPr>
          <w:p>
            <w:r>
              <w:rPr/>
              <w:t>2</w:t>
            </w:r>
          </w:p>
        </w:tc>
        <w:tc>
          <w:tcPr>
            <w:tcW w:type="dxa" w:w="5814"/>
          </w:tcPr>
          <w:p>
            <w:r>
              <w:rPr/>
              <w:t>二、技术参数：★1、额定容量≥240kVA；</w:t>
            </w:r>
          </w:p>
        </w:tc>
      </w:tr>
      <w:tr>
        <w:tc>
          <w:tcPr>
            <w:tcW w:type="dxa" w:w="2076"/>
          </w:tcPr>
          <w:p>
            <w:r>
              <w:rPr/>
              <w:t>▲</w:t>
            </w:r>
          </w:p>
        </w:tc>
        <w:tc>
          <w:tcPr>
            <w:tcW w:type="dxa" w:w="415"/>
          </w:tcPr>
          <w:p>
            <w:r>
              <w:rPr/>
              <w:t>3</w:t>
            </w:r>
          </w:p>
        </w:tc>
        <w:tc>
          <w:tcPr>
            <w:tcW w:type="dxa" w:w="5814"/>
          </w:tcPr>
          <w:p>
            <w:r>
              <w:rPr/>
              <w:t>▲2、</w:t>
            </w:r>
            <w:r>
              <w:rPr>
                <w:color w:val="000000"/>
                <w:sz w:val="20"/>
              </w:rPr>
              <w:t>交流输出：三相四线；三相标准模式、三相不平衡模式、三相独立模式、并联单相模式；</w:t>
            </w:r>
          </w:p>
        </w:tc>
      </w:tr>
      <w:tr>
        <w:tc>
          <w:tcPr>
            <w:tcW w:type="dxa" w:w="2076"/>
          </w:tcPr>
          <w:p>
            <w:r>
              <w:rPr/>
              <w:t>▲</w:t>
            </w:r>
          </w:p>
        </w:tc>
        <w:tc>
          <w:tcPr>
            <w:tcW w:type="dxa" w:w="415"/>
          </w:tcPr>
          <w:p>
            <w:r>
              <w:rPr/>
              <w:t>4</w:t>
            </w:r>
          </w:p>
        </w:tc>
        <w:tc>
          <w:tcPr>
            <w:tcW w:type="dxa" w:w="5814"/>
          </w:tcPr>
          <w:p>
            <w:r>
              <w:rPr/>
              <w:t>▲3、</w:t>
            </w:r>
            <w:r>
              <w:rPr>
                <w:color w:val="000000"/>
                <w:sz w:val="20"/>
              </w:rPr>
              <w:t>相电压：0.0～300.0V；45.00～240.00Hz；</w:t>
            </w:r>
          </w:p>
        </w:tc>
      </w:tr>
      <w:tr>
        <w:tc>
          <w:tcPr>
            <w:tcW w:type="dxa" w:w="2076"/>
          </w:tcPr>
          <w:p>
            <w:r>
              <w:rPr/>
              <w:t>▲</w:t>
            </w:r>
          </w:p>
        </w:tc>
        <w:tc>
          <w:tcPr>
            <w:tcW w:type="dxa" w:w="415"/>
          </w:tcPr>
          <w:p>
            <w:r>
              <w:rPr/>
              <w:t>5</w:t>
            </w:r>
          </w:p>
        </w:tc>
        <w:tc>
          <w:tcPr>
            <w:tcW w:type="dxa" w:w="5814"/>
          </w:tcPr>
          <w:p>
            <w:r>
              <w:rPr/>
              <w:t>▲4、</w:t>
            </w:r>
            <w:r>
              <w:rPr>
                <w:color w:val="000000"/>
                <w:sz w:val="20"/>
              </w:rPr>
              <w:t>电压分辨力：0.1V，精度：0.2%×读数值+0.2%×满量程值；</w:t>
            </w:r>
          </w:p>
        </w:tc>
      </w:tr>
      <w:tr>
        <w:tc>
          <w:tcPr>
            <w:tcW w:type="dxa" w:w="2076"/>
          </w:tcPr>
          <w:p>
            <w:r>
              <w:rPr/>
              <w:t>▲</w:t>
            </w:r>
          </w:p>
        </w:tc>
        <w:tc>
          <w:tcPr>
            <w:tcW w:type="dxa" w:w="415"/>
          </w:tcPr>
          <w:p>
            <w:r>
              <w:rPr/>
              <w:t>6</w:t>
            </w:r>
          </w:p>
        </w:tc>
        <w:tc>
          <w:tcPr>
            <w:tcW w:type="dxa" w:w="5814"/>
          </w:tcPr>
          <w:p>
            <w:r>
              <w:rPr/>
              <w:t>▲5、</w:t>
            </w:r>
            <w:r>
              <w:rPr>
                <w:color w:val="000000"/>
                <w:sz w:val="20"/>
              </w:rPr>
              <w:t>频率分辨力：0.01Hz，精度：0.05%；频率稳定度：≤0.02%；</w:t>
            </w:r>
          </w:p>
        </w:tc>
      </w:tr>
      <w:tr>
        <w:tc>
          <w:tcPr>
            <w:tcW w:type="dxa" w:w="2076"/>
          </w:tcPr>
          <w:p>
            <w:r>
              <w:rPr/>
              <w:t>▲</w:t>
            </w:r>
          </w:p>
        </w:tc>
        <w:tc>
          <w:tcPr>
            <w:tcW w:type="dxa" w:w="415"/>
          </w:tcPr>
          <w:p>
            <w:r>
              <w:rPr/>
              <w:t>7</w:t>
            </w:r>
          </w:p>
        </w:tc>
        <w:tc>
          <w:tcPr>
            <w:tcW w:type="dxa" w:w="5814"/>
          </w:tcPr>
          <w:p>
            <w:r>
              <w:rPr/>
              <w:t>▲6、</w:t>
            </w:r>
            <w:r>
              <w:rPr>
                <w:color w:val="000000"/>
                <w:sz w:val="20"/>
              </w:rPr>
              <w:t>电压失真度：线性负载：THD＜1%；</w:t>
            </w:r>
          </w:p>
        </w:tc>
      </w:tr>
      <w:tr>
        <w:tc>
          <w:tcPr>
            <w:tcW w:type="dxa" w:w="2076"/>
          </w:tcPr>
          <w:p/>
        </w:tc>
        <w:tc>
          <w:tcPr>
            <w:tcW w:type="dxa" w:w="415"/>
          </w:tcPr>
          <w:p>
            <w:r>
              <w:rPr/>
              <w:t>8</w:t>
            </w:r>
          </w:p>
        </w:tc>
        <w:tc>
          <w:tcPr>
            <w:tcW w:type="dxa" w:w="5814"/>
          </w:tcPr>
          <w:p>
            <w:r>
              <w:rPr/>
              <w:t>7、瞬态恢复时间：≤20ms；</w:t>
            </w:r>
          </w:p>
        </w:tc>
      </w:tr>
      <w:tr>
        <w:tc>
          <w:tcPr>
            <w:tcW w:type="dxa" w:w="2076"/>
          </w:tcPr>
          <w:p/>
        </w:tc>
        <w:tc>
          <w:tcPr>
            <w:tcW w:type="dxa" w:w="415"/>
          </w:tcPr>
          <w:p>
            <w:r>
              <w:rPr/>
              <w:t>9</w:t>
            </w:r>
          </w:p>
        </w:tc>
        <w:tc>
          <w:tcPr>
            <w:tcW w:type="dxa" w:w="5814"/>
          </w:tcPr>
          <w:p>
            <w:r>
              <w:rPr/>
              <w:t>8、输出波形：正弦波；</w:t>
            </w:r>
          </w:p>
        </w:tc>
      </w:tr>
      <w:tr>
        <w:tc>
          <w:tcPr>
            <w:tcW w:type="dxa" w:w="2076"/>
          </w:tcPr>
          <w:p>
            <w:r>
              <w:rPr/>
              <w:t>★</w:t>
            </w:r>
          </w:p>
        </w:tc>
        <w:tc>
          <w:tcPr>
            <w:tcW w:type="dxa" w:w="415"/>
          </w:tcPr>
          <w:p>
            <w:r>
              <w:rPr/>
              <w:t>10</w:t>
            </w:r>
          </w:p>
        </w:tc>
        <w:tc>
          <w:tcPr>
            <w:tcW w:type="dxa" w:w="5814"/>
          </w:tcPr>
          <w:p>
            <w:r>
              <w:rPr/>
              <w:t>★9、具有谐波叠加功能（2~40次谐波)；</w:t>
            </w:r>
          </w:p>
        </w:tc>
      </w:tr>
      <w:tr>
        <w:tc>
          <w:tcPr>
            <w:tcW w:type="dxa" w:w="2076"/>
          </w:tcPr>
          <w:p/>
        </w:tc>
        <w:tc>
          <w:tcPr>
            <w:tcW w:type="dxa" w:w="415"/>
          </w:tcPr>
          <w:p>
            <w:r>
              <w:rPr/>
              <w:t>11</w:t>
            </w:r>
          </w:p>
        </w:tc>
        <w:tc>
          <w:tcPr>
            <w:tcW w:type="dxa" w:w="5814"/>
          </w:tcPr>
          <w:p>
            <w:r>
              <w:rPr/>
              <w:t>10、编程功能：阶梯模式9999阶梯；步阶模式100步999999循环；渐变模式100步999999循环；</w:t>
            </w:r>
          </w:p>
        </w:tc>
      </w:tr>
      <w:tr>
        <w:tc>
          <w:tcPr>
            <w:tcW w:type="dxa" w:w="2076"/>
          </w:tcPr>
          <w:p/>
        </w:tc>
        <w:tc>
          <w:tcPr>
            <w:tcW w:type="dxa" w:w="415"/>
          </w:tcPr>
          <w:p>
            <w:r>
              <w:rPr/>
              <w:t>12</w:t>
            </w:r>
          </w:p>
        </w:tc>
        <w:tc>
          <w:tcPr>
            <w:tcW w:type="dxa" w:w="5814"/>
          </w:tcPr>
          <w:p>
            <w:r>
              <w:rPr/>
              <w:t>11、启动缓升时间0.0～99.9秒；</w:t>
            </w:r>
          </w:p>
        </w:tc>
      </w:tr>
      <w:tr>
        <w:tc>
          <w:tcPr>
            <w:tcW w:type="dxa" w:w="2076"/>
          </w:tcPr>
          <w:p>
            <w:r>
              <w:rPr/>
              <w:t>▲</w:t>
            </w:r>
          </w:p>
        </w:tc>
        <w:tc>
          <w:tcPr>
            <w:tcW w:type="dxa" w:w="415"/>
          </w:tcPr>
          <w:p>
            <w:r>
              <w:rPr/>
              <w:t>13</w:t>
            </w:r>
          </w:p>
        </w:tc>
        <w:tc>
          <w:tcPr>
            <w:tcW w:type="dxa" w:w="5814"/>
          </w:tcPr>
          <w:p>
            <w:r>
              <w:rPr/>
              <w:t>▲12、</w:t>
            </w:r>
            <w:r>
              <w:rPr>
                <w:color w:val="000000"/>
                <w:sz w:val="20"/>
              </w:rPr>
              <w:t>在线调节功能：常规模式下，可在线调节输出电压、输出频率，可在线切换波形；</w:t>
            </w:r>
          </w:p>
        </w:tc>
      </w:tr>
      <w:tr>
        <w:tc>
          <w:tcPr>
            <w:tcW w:type="dxa" w:w="2076"/>
          </w:tcPr>
          <w:p>
            <w:r>
              <w:rPr/>
              <w:t>▲</w:t>
            </w:r>
          </w:p>
        </w:tc>
        <w:tc>
          <w:tcPr>
            <w:tcW w:type="dxa" w:w="415"/>
          </w:tcPr>
          <w:p>
            <w:r>
              <w:rPr/>
              <w:t>14</w:t>
            </w:r>
          </w:p>
        </w:tc>
        <w:tc>
          <w:tcPr>
            <w:tcW w:type="dxa" w:w="5814"/>
          </w:tcPr>
          <w:p>
            <w:r>
              <w:rPr/>
              <w:t>▲</w:t>
            </w:r>
            <w:r>
              <w:rPr>
                <w:color w:val="000000"/>
                <w:sz w:val="20"/>
              </w:rPr>
              <w:t>13</w:t>
            </w:r>
            <w:r>
              <w:rPr>
                <w:color w:val="000000"/>
                <w:sz w:val="20"/>
              </w:rPr>
              <w:t>、</w:t>
            </w:r>
            <w:r>
              <w:rPr>
                <w:color w:val="000000"/>
                <w:sz w:val="20"/>
              </w:rPr>
              <w:t>含应用软件</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制动衬片剪切强度试验机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一、符合标准GB 5763-2018，GB/T 22309-2008</w:t>
            </w:r>
          </w:p>
        </w:tc>
      </w:tr>
      <w:tr>
        <w:tc>
          <w:tcPr>
            <w:tcW w:type="dxa" w:w="2076"/>
          </w:tcPr>
          <w:p/>
        </w:tc>
        <w:tc>
          <w:tcPr>
            <w:tcW w:type="dxa" w:w="415"/>
          </w:tcPr>
          <w:p>
            <w:r>
              <w:rPr/>
              <w:t>2</w:t>
            </w:r>
          </w:p>
        </w:tc>
        <w:tc>
          <w:tcPr>
            <w:tcW w:type="dxa" w:w="5814"/>
          </w:tcPr>
          <w:p>
            <w:r>
              <w:rPr/>
              <w:t>二、技术参数： 1、试验机附有记录装置，能正确记录瞬时的失效剪切力；</w:t>
            </w:r>
          </w:p>
        </w:tc>
      </w:tr>
      <w:tr>
        <w:tc>
          <w:tcPr>
            <w:tcW w:type="dxa" w:w="2076"/>
          </w:tcPr>
          <w:p/>
        </w:tc>
        <w:tc>
          <w:tcPr>
            <w:tcW w:type="dxa" w:w="415"/>
          </w:tcPr>
          <w:p>
            <w:r>
              <w:rPr/>
              <w:t>3</w:t>
            </w:r>
          </w:p>
        </w:tc>
        <w:tc>
          <w:tcPr>
            <w:tcW w:type="dxa" w:w="5814"/>
          </w:tcPr>
          <w:p>
            <w:r>
              <w:rPr/>
              <w:t>2、平均加载速率（4500±1000）N/s，最大加载速率＞5500 N/s；</w:t>
            </w:r>
          </w:p>
        </w:tc>
      </w:tr>
      <w:tr>
        <w:tc>
          <w:tcPr>
            <w:tcW w:type="dxa" w:w="2076"/>
          </w:tcPr>
          <w:p/>
        </w:tc>
        <w:tc>
          <w:tcPr>
            <w:tcW w:type="dxa" w:w="415"/>
          </w:tcPr>
          <w:p>
            <w:r>
              <w:rPr/>
              <w:t>4</w:t>
            </w:r>
          </w:p>
        </w:tc>
        <w:tc>
          <w:tcPr>
            <w:tcW w:type="dxa" w:w="5814"/>
          </w:tcPr>
          <w:p>
            <w:r>
              <w:rPr/>
              <w:t>3、加载速率为（10±1）mm/min;</w:t>
            </w:r>
          </w:p>
        </w:tc>
      </w:tr>
      <w:tr>
        <w:tc>
          <w:tcPr>
            <w:tcW w:type="dxa" w:w="2076"/>
          </w:tcPr>
          <w:p/>
        </w:tc>
        <w:tc>
          <w:tcPr>
            <w:tcW w:type="dxa" w:w="415"/>
          </w:tcPr>
          <w:p>
            <w:r>
              <w:rPr/>
              <w:t>5</w:t>
            </w:r>
          </w:p>
        </w:tc>
        <w:tc>
          <w:tcPr>
            <w:tcW w:type="dxa" w:w="5814"/>
          </w:tcPr>
          <w:p>
            <w:r>
              <w:rPr/>
              <w:t>4、为避免试样在测试中移动，应能提供一个垂直于剪切力，且负荷为（0.5±0.15）N/mm</w:t>
            </w:r>
            <w:r>
              <w:rPr>
                <w:color w:val="000000"/>
                <w:sz w:val="21"/>
                <w:vertAlign w:val="superscript"/>
              </w:rPr>
              <w:t>2</w:t>
            </w:r>
            <w:r>
              <w:rPr>
                <w:color w:val="000000"/>
                <w:sz w:val="20"/>
              </w:rPr>
              <w:t>的正压力；</w:t>
            </w:r>
          </w:p>
        </w:tc>
      </w:tr>
      <w:tr>
        <w:tc>
          <w:tcPr>
            <w:tcW w:type="dxa" w:w="2076"/>
          </w:tcPr>
          <w:p/>
        </w:tc>
        <w:tc>
          <w:tcPr>
            <w:tcW w:type="dxa" w:w="415"/>
          </w:tcPr>
          <w:p>
            <w:r>
              <w:rPr/>
              <w:t>6</w:t>
            </w:r>
          </w:p>
        </w:tc>
        <w:tc>
          <w:tcPr>
            <w:tcW w:type="dxa" w:w="5814"/>
          </w:tcPr>
          <w:p>
            <w:r>
              <w:rPr/>
              <w:t>5、最大剪切力不低于300kN；</w:t>
            </w:r>
          </w:p>
        </w:tc>
      </w:tr>
      <w:tr>
        <w:tc>
          <w:tcPr>
            <w:tcW w:type="dxa" w:w="2076"/>
          </w:tcPr>
          <w:p/>
        </w:tc>
        <w:tc>
          <w:tcPr>
            <w:tcW w:type="dxa" w:w="415"/>
          </w:tcPr>
          <w:p>
            <w:r>
              <w:rPr/>
              <w:t>7</w:t>
            </w:r>
          </w:p>
        </w:tc>
        <w:tc>
          <w:tcPr>
            <w:tcW w:type="dxa" w:w="5814"/>
          </w:tcPr>
          <w:p>
            <w:r>
              <w:rPr/>
              <w:t>6、</w:t>
            </w:r>
            <w:r>
              <w:rPr>
                <w:sz w:val="21"/>
              </w:rPr>
              <w:t>传感器</w:t>
            </w:r>
            <w:r>
              <w:rPr>
                <w:sz w:val="21"/>
              </w:rPr>
              <w:t>精度等级不低于</w:t>
            </w:r>
            <w:r>
              <w:rPr>
                <w:sz w:val="21"/>
              </w:rPr>
              <w:t>0.5</w:t>
            </w:r>
            <w:r>
              <w:rPr>
                <w:sz w:val="21"/>
              </w:rPr>
              <w:t>级</w:t>
            </w:r>
            <w:r>
              <w:rPr/>
              <w:t>；</w:t>
            </w:r>
          </w:p>
        </w:tc>
      </w:tr>
      <w:tr>
        <w:tc>
          <w:tcPr>
            <w:tcW w:type="dxa" w:w="2076"/>
          </w:tcPr>
          <w:p/>
        </w:tc>
        <w:tc>
          <w:tcPr>
            <w:tcW w:type="dxa" w:w="415"/>
          </w:tcPr>
          <w:p>
            <w:r>
              <w:rPr/>
              <w:t>8</w:t>
            </w:r>
          </w:p>
        </w:tc>
        <w:tc>
          <w:tcPr>
            <w:tcW w:type="dxa" w:w="5814"/>
          </w:tcPr>
          <w:p>
            <w:r>
              <w:rPr/>
              <w:t>7、</w:t>
            </w:r>
            <w:r>
              <w:rPr>
                <w:sz w:val="21"/>
              </w:rPr>
              <w:t>剪切力测量精度</w:t>
            </w:r>
            <w:r>
              <w:rPr>
                <w:sz w:val="21"/>
              </w:rPr>
              <w:t>±</w:t>
            </w:r>
            <w:r>
              <w:rPr>
                <w:sz w:val="21"/>
              </w:rPr>
              <w:t>1</w:t>
            </w:r>
            <w:r>
              <w:rPr>
                <w:sz w:val="21"/>
              </w:rPr>
              <w:t>%FS</w:t>
            </w:r>
            <w:r>
              <w:rPr/>
              <w:t>；</w:t>
            </w:r>
          </w:p>
        </w:tc>
      </w:tr>
      <w:tr>
        <w:tc>
          <w:tcPr>
            <w:tcW w:type="dxa" w:w="2076"/>
          </w:tcPr>
          <w:p/>
        </w:tc>
        <w:tc>
          <w:tcPr>
            <w:tcW w:type="dxa" w:w="415"/>
          </w:tcPr>
          <w:p>
            <w:r>
              <w:rPr/>
              <w:t>9</w:t>
            </w:r>
          </w:p>
        </w:tc>
        <w:tc>
          <w:tcPr>
            <w:tcW w:type="dxa" w:w="5814"/>
          </w:tcPr>
          <w:p>
            <w:r>
              <w:rPr/>
              <w:t>8、可剪切面积≥35000mm</w:t>
            </w:r>
            <w:r>
              <w:rPr>
                <w:color w:val="000000"/>
                <w:sz w:val="21"/>
                <w:vertAlign w:val="superscript"/>
              </w:rPr>
              <w:t>2</w:t>
            </w:r>
            <w:r>
              <w:rPr>
                <w:color w:val="000000"/>
                <w:sz w:val="20"/>
              </w:rPr>
              <w:t>；</w:t>
            </w:r>
          </w:p>
        </w:tc>
      </w:tr>
      <w:tr>
        <w:tc>
          <w:tcPr>
            <w:tcW w:type="dxa" w:w="2076"/>
          </w:tcPr>
          <w:p/>
        </w:tc>
        <w:tc>
          <w:tcPr>
            <w:tcW w:type="dxa" w:w="415"/>
          </w:tcPr>
          <w:p>
            <w:r>
              <w:rPr/>
              <w:t>10</w:t>
            </w:r>
          </w:p>
        </w:tc>
        <w:tc>
          <w:tcPr>
            <w:tcW w:type="dxa" w:w="5814"/>
          </w:tcPr>
          <w:p>
            <w:r>
              <w:rPr/>
              <w:t>9、</w:t>
            </w:r>
            <w:r>
              <w:rPr>
                <w:sz w:val="21"/>
              </w:rPr>
              <w:t>配置数据处理系统；</w:t>
            </w:r>
          </w:p>
        </w:tc>
      </w:tr>
      <w:tr>
        <w:tc>
          <w:tcPr>
            <w:tcW w:type="dxa" w:w="2076"/>
          </w:tcPr>
          <w:p/>
        </w:tc>
        <w:tc>
          <w:tcPr>
            <w:tcW w:type="dxa" w:w="415"/>
          </w:tcPr>
          <w:p>
            <w:r>
              <w:rPr/>
              <w:t>11</w:t>
            </w:r>
          </w:p>
        </w:tc>
        <w:tc>
          <w:tcPr>
            <w:tcW w:type="dxa" w:w="5814"/>
          </w:tcPr>
          <w:p>
            <w:r>
              <w:rPr/>
              <w:t>10、</w:t>
            </w:r>
            <w:r>
              <w:rPr>
                <w:sz w:val="21"/>
              </w:rPr>
              <w:t>配置数据</w:t>
            </w:r>
            <w:r>
              <w:rPr>
                <w:sz w:val="21"/>
              </w:rPr>
              <w:t>输出系统；</w:t>
            </w:r>
          </w:p>
        </w:tc>
      </w:tr>
      <w:tr>
        <w:tc>
          <w:tcPr>
            <w:tcW w:type="dxa" w:w="2076"/>
          </w:tcPr>
          <w:p/>
        </w:tc>
        <w:tc>
          <w:tcPr>
            <w:tcW w:type="dxa" w:w="415"/>
          </w:tcPr>
          <w:p>
            <w:r>
              <w:rPr/>
              <w:t>12</w:t>
            </w:r>
          </w:p>
        </w:tc>
        <w:tc>
          <w:tcPr>
            <w:tcW w:type="dxa" w:w="5814"/>
          </w:tcPr>
          <w:p>
            <w:r>
              <w:rPr/>
              <w:t>11、</w:t>
            </w:r>
            <w:r>
              <w:rPr>
                <w:sz w:val="21"/>
              </w:rPr>
              <w:t>配置鼓式和盘式剪切夹具各一套，盘式夹具至少包含弧度</w:t>
            </w:r>
            <w:r>
              <w:rPr>
                <w:sz w:val="21"/>
              </w:rPr>
              <w:t>0</w:t>
            </w:r>
            <w:r>
              <w:rPr>
                <w:sz w:val="21"/>
              </w:rPr>
              <w:t>、</w:t>
            </w:r>
            <w:r>
              <w:rPr>
                <w:sz w:val="21"/>
              </w:rPr>
              <w:t>110</w:t>
            </w:r>
            <w:r>
              <w:rPr>
                <w:sz w:val="21"/>
              </w:rPr>
              <w:t>、</w:t>
            </w:r>
            <w:r>
              <w:rPr>
                <w:sz w:val="21"/>
              </w:rPr>
              <w:t>112</w:t>
            </w:r>
            <w:r>
              <w:rPr>
                <w:sz w:val="21"/>
              </w:rPr>
              <w:t>、</w:t>
            </w:r>
            <w:r>
              <w:rPr>
                <w:sz w:val="21"/>
              </w:rPr>
              <w:t>124</w:t>
            </w:r>
            <w:r>
              <w:rPr>
                <w:sz w:val="21"/>
              </w:rPr>
              <w:t>、</w:t>
            </w:r>
            <w:r>
              <w:rPr>
                <w:sz w:val="21"/>
              </w:rPr>
              <w:t>128</w:t>
            </w:r>
            <w:r>
              <w:rPr>
                <w:sz w:val="21"/>
              </w:rPr>
              <w:t>、</w:t>
            </w:r>
            <w:r>
              <w:rPr>
                <w:sz w:val="21"/>
              </w:rPr>
              <w:t>136</w:t>
            </w:r>
            <w:r>
              <w:rPr>
                <w:sz w:val="21"/>
              </w:rPr>
              <w:t>、</w:t>
            </w:r>
            <w:r>
              <w:rPr>
                <w:sz w:val="21"/>
              </w:rPr>
              <w:t>220</w:t>
            </w:r>
            <w:r>
              <w:rPr>
                <w:sz w:val="21"/>
              </w:rPr>
              <w:t>；鼓式夹具至少包含弧度</w:t>
            </w:r>
            <w:r>
              <w:rPr>
                <w:sz w:val="21"/>
              </w:rPr>
              <w:t>88</w:t>
            </w:r>
            <w:r>
              <w:rPr>
                <w:sz w:val="21"/>
              </w:rPr>
              <w:t>、</w:t>
            </w:r>
            <w:r>
              <w:rPr>
                <w:sz w:val="21"/>
              </w:rPr>
              <w:t>135</w:t>
            </w:r>
            <w:r>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的“货物类”计算方法和计费标准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2.，本招标文件内要求的扫描件或复印件，可以是原件的扫描件，也可以是复印件的扫描件。扫描件性质上可视为复印件。</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覃先生</w:t>
      </w:r>
    </w:p>
    <w:p>
      <w:pPr>
        <w:ind w:firstLine="480"/>
      </w:pPr>
      <w:r>
        <w:rPr/>
        <w:t>电话：</w:t>
      </w:r>
      <w:r>
        <w:rPr/>
        <w:t>0757-83279001、0757-83279081</w:t>
      </w:r>
    </w:p>
    <w:p>
      <w:pPr>
        <w:ind w:firstLine="480"/>
      </w:pPr>
      <w:r>
        <w:rPr/>
        <w:t>传真：</w:t>
      </w:r>
      <w:r>
        <w:rPr/>
        <w:t>0757-83279001、0757-83279081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大功率可编程交流电源、制动衬片剪切强度试验机)：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采购包1（大功率可编程交流电源、制动衬片剪切强度试验机）：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采购包1（大功率可编程交流电源、制动衬片剪切强度试验机）：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促进中小企业发展</w:t>
            </w:r>
          </w:p>
        </w:tc>
        <w:tc>
          <w:tcPr>
            <w:tcW w:type="dxa" w:w="4238"/>
          </w:tcPr>
          <w:p>
            <w:r>
              <w:rPr/>
              <w:t>采购包整体专门面向中小微企业。供应商须为符合划分标准的中小微企业（监狱企业、残疾人福利单位视同小型、微型企业）。本项目行业为：工业。中小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采购包1（大功率可编程交流电源、制动衬片剪切强度试验机）：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采购包1大功率可编程交流电源、制动衬片剪切强度试验机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(38.0分)</w:t>
            </w:r>
          </w:p>
        </w:tc>
        <w:tc>
          <w:tcPr>
            <w:tcW w:type="dxa" w:w="5076"/>
          </w:tcPr>
          <w:p>
            <w:pPr>
              <w:jc w:val="left"/>
            </w:pPr>
            <w:r>
              <w:rPr/>
              <w:t>根据招标文件《第二章 采购需求》“技术标准与要求”中的指标响应程度进行评分： 1、带“▲”参数：无偏离或正偏离的,每满足一项得3分，本小项最高得21分； 2、不带“▲”或“★”参数：无偏离或正偏离的,每满足一项得1分，本小项最高得17分； 3、本项最高得38分。 注：每一项是指技术标准与要求附表内“技术(参数)要求”表格内的每一个序号。招标文件内列明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标注响应或不响应。</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(7.0分)</w:t>
            </w:r>
            <w:r>
              <w:rPr/>
              <w:t>，（等次分值选择：</w:t>
            </w:r>
            <w:r>
              <w:rPr/>
              <w:t>0.0;</w:t>
            </w:r>
            <w:r>
              <w:rPr/>
              <w:t>1.0;</w:t>
            </w:r>
            <w:r>
              <w:rPr/>
              <w:t>3.0;</w:t>
            </w:r>
            <w:r>
              <w:rPr/>
              <w:t>5.0;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2、实施方案较详细完整，可行性较强，较能满足招标文件要求的得5分；  3、实施方案基本完整，有一定可行性，基本满足招标文件要求的得3分；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注：须同时提供认证证书扫描件并加盖投标人公章作为评审依据，已失效或撤销的不得分。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投标人提供自2019年1月1日起以来（以合同签订时间为准）的同类项目业绩，每提供一项得1分，最高得5分。 注：须提供合同扫描件（含签订合同双方的单位名称、合同项目名称、合同主要内容、签订合同双方的落款盖章页）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b/>
          <w:color w:val="222222"/>
          <w:sz w:val="28"/>
        </w:rPr>
        <w:t>合同编号：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b/>
          <w:sz w:val="28"/>
        </w:rPr>
        <w:t>项目名称：佛山市质量计量监督检测中心</w:t>
      </w:r>
      <w:r>
        <w:rPr>
          <w:b/>
          <w:sz w:val="28"/>
        </w:rPr>
        <w:t>2022年度质量检测能力提升设备采购项目（</w:t>
      </w:r>
      <w:r>
        <w:rPr>
          <w:b/>
          <w:sz w:val="28"/>
        </w:rPr>
        <w:t>一</w:t>
      </w:r>
      <w:r>
        <w:rPr>
          <w:b/>
          <w:sz w:val="28"/>
        </w:rPr>
        <w:t>）</w:t>
      </w:r>
    </w:p>
    <w:p>
      <w:pPr>
        <w:jc w:val="both"/>
      </w:pPr>
      <w:r>
        <w:rPr>
          <w:color w:val="222222"/>
          <w:sz w:val="27"/>
        </w:rPr>
        <w:t xml:space="preserve"> </w:t>
      </w:r>
    </w:p>
    <w:p>
      <w:pPr>
        <w:jc w:val="center"/>
      </w:pPr>
      <w:r>
        <w:rPr>
          <w:b/>
          <w:sz w:val="28"/>
        </w:rPr>
        <w:t>项目编号：</w:t>
      </w:r>
      <w:r>
        <w:rPr>
          <w:b/>
          <w:sz w:val="28"/>
        </w:rPr>
        <w:t>440001-2022-30216</w:t>
      </w:r>
    </w:p>
    <w:p>
      <w:pPr>
        <w:jc w:val="center"/>
      </w:pPr>
      <w:r>
        <w:rPr/>
        <w:t xml:space="preserve"> </w:t>
      </w:r>
    </w:p>
    <w:p>
      <w:pPr>
        <w:jc w:val="center"/>
      </w:pPr>
      <w:r>
        <w:rPr>
          <w:b/>
          <w:sz w:val="28"/>
        </w:rPr>
        <w:t>采购包号：</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
      <w:r>
        <w:rPr>
          <w:sz w:val="21"/>
        </w:rPr>
        <w:t>甲方（采购人）：佛山市质量计量监督检测中心</w:t>
      </w:r>
    </w:p>
    <w:p>
      <w:r>
        <w:rPr>
          <w:sz w:val="21"/>
        </w:rPr>
        <w:t>电话：</w:t>
      </w:r>
      <w:r>
        <w:rPr>
          <w:sz w:val="21"/>
        </w:rPr>
        <w:t>0757-88780020</w:t>
      </w:r>
      <w:r>
        <w:rPr>
          <w:sz w:val="21"/>
        </w:rPr>
        <w:t xml:space="preserve">                  </w:t>
      </w:r>
    </w:p>
    <w:p>
      <w:r>
        <w:rPr>
          <w:sz w:val="21"/>
        </w:rPr>
        <w:t>地址：佛山市南海区狮山镇科技西路</w:t>
      </w:r>
      <w:r>
        <w:rPr>
          <w:sz w:val="21"/>
        </w:rPr>
        <w:t>2号</w:t>
      </w:r>
    </w:p>
    <w:p>
      <w:r>
        <w:rPr>
          <w:sz w:val="21"/>
        </w:rPr>
        <w:t>乙方（</w:t>
      </w:r>
      <w:r>
        <w:rPr>
          <w:sz w:val="21"/>
        </w:rPr>
        <w:t>乙方</w:t>
      </w:r>
      <w:r>
        <w:rPr>
          <w:sz w:val="21"/>
        </w:rPr>
        <w:t>）：</w:t>
      </w:r>
    </w:p>
    <w:p>
      <w:r>
        <w:rPr>
          <w:sz w:val="21"/>
        </w:rPr>
        <w:t>电话：</w:t>
      </w:r>
      <w:r>
        <w:rPr>
          <w:sz w:val="21"/>
        </w:rPr>
        <w:t xml:space="preserve">                              </w:t>
      </w:r>
      <w:r>
        <w:rPr>
          <w:sz w:val="21"/>
        </w:rPr>
        <w:t>联系人：</w:t>
      </w:r>
    </w:p>
    <w:p>
      <w:r>
        <w:rPr>
          <w:sz w:val="21"/>
        </w:rPr>
        <w:t>地址：</w:t>
      </w:r>
    </w:p>
    <w:p>
      <w:pPr>
        <w:ind w:firstLine="420"/>
        <w:jc w:val="both"/>
      </w:pPr>
      <w:r>
        <w:rPr>
          <w:sz w:val="21"/>
        </w:rPr>
        <w:t>根据</w:t>
      </w:r>
      <w:r>
        <w:rPr>
          <w:b/>
          <w:sz w:val="21"/>
          <w:u w:val="single"/>
        </w:rPr>
        <w:t>佛山市质量计量监督检测中心</w:t>
      </w:r>
      <w:r>
        <w:rPr>
          <w:b/>
          <w:sz w:val="21"/>
          <w:u w:val="single"/>
        </w:rPr>
        <w:t>2022年度质量检测能力提升设备采购项目（</w:t>
      </w:r>
      <w:r>
        <w:rPr>
          <w:b/>
          <w:sz w:val="21"/>
          <w:u w:val="single"/>
        </w:rPr>
        <w:t>一</w:t>
      </w:r>
      <w:r>
        <w:rPr>
          <w:b/>
          <w:sz w:val="21"/>
          <w:u w:val="single"/>
        </w:rPr>
        <w:t>）</w:t>
      </w:r>
      <w:r>
        <w:rPr>
          <w:sz w:val="21"/>
        </w:rPr>
        <w:t>，项目编号：</w:t>
      </w:r>
      <w:r>
        <w:rPr>
          <w:b/>
          <w:sz w:val="21"/>
        </w:rPr>
        <w:t>440001-2022-30216</w:t>
      </w:r>
      <w:r>
        <w:rPr>
          <w:sz w:val="21"/>
        </w:rPr>
        <w:t>，</w:t>
      </w:r>
      <w:r>
        <w:rPr>
          <w:sz w:val="21"/>
        </w:rPr>
        <w:t>子包号：</w:t>
      </w:r>
      <w:r>
        <w:rPr>
          <w:sz w:val="21"/>
          <w:u w:val="single"/>
        </w:rPr>
        <w:t xml:space="preserve">    </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》的规定，经双方协商，本着平等互利和诚实信用的原则，一致同意签订本合同如下。</w:t>
      </w:r>
    </w:p>
    <w:p>
      <w:r>
        <w:rPr>
          <w:b/>
          <w:sz w:val="21"/>
        </w:rPr>
        <w:t>一、</w:t>
      </w:r>
      <w:r>
        <w:rPr>
          <w:b/>
          <w:sz w:val="21"/>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404"/>
        <w:gridCol w:w="1689"/>
        <w:gridCol w:w="773"/>
        <w:gridCol w:w="1285"/>
        <w:gridCol w:w="1106"/>
        <w:gridCol w:w="499"/>
        <w:gridCol w:w="1225"/>
        <w:gridCol w:w="1297"/>
      </w:tblGrid>
      <w:tr>
        <w:tc>
          <w:tcPr>
            <w:tcW w:type="dxa" w:w="404"/>
            <w:tcBorders>
              <w:top w:val="single" w:color="000000" w:sz="8"/>
              <w:left w:val="single" w:color="000000" w:sz="8"/>
              <w:bottom w:val="single" w:color="000000" w:sz="4"/>
              <w:right w:val="single" w:color="000000" w:sz="4"/>
            </w:tcBorders>
            <w:vAlign w:val="top"/>
          </w:tcPr>
          <w:p>
            <w:pPr>
              <w:jc w:val="center"/>
            </w:pPr>
            <w:r>
              <w:rPr>
                <w:sz w:val="21"/>
              </w:rPr>
              <w:t>序号</w:t>
            </w:r>
          </w:p>
        </w:tc>
        <w:tc>
          <w:tcPr>
            <w:tcW w:type="dxa" w:w="1689"/>
            <w:tcBorders>
              <w:top w:val="single" w:color="000000" w:sz="8"/>
              <w:left w:val="single" w:color="000000" w:sz="4"/>
              <w:bottom w:val="single" w:color="000000" w:sz="4"/>
              <w:right w:val="single" w:color="000000" w:sz="4"/>
            </w:tcBorders>
            <w:vAlign w:val="top"/>
          </w:tcPr>
          <w:p>
            <w:pPr>
              <w:jc w:val="center"/>
            </w:pPr>
            <w:r>
              <w:rPr>
                <w:sz w:val="21"/>
              </w:rPr>
              <w:t>商品名称</w:t>
            </w:r>
          </w:p>
        </w:tc>
        <w:tc>
          <w:tcPr>
            <w:tcW w:type="dxa" w:w="773"/>
            <w:tcBorders>
              <w:top w:val="single" w:color="000000" w:sz="8"/>
              <w:left w:val="single" w:color="000000" w:sz="4"/>
              <w:bottom w:val="single" w:color="000000" w:sz="4"/>
              <w:right w:val="single" w:color="000000" w:sz="4"/>
            </w:tcBorders>
            <w:vAlign w:val="top"/>
          </w:tcPr>
          <w:p>
            <w:pPr>
              <w:jc w:val="center"/>
            </w:pPr>
            <w:r>
              <w:rPr>
                <w:sz w:val="21"/>
              </w:rPr>
              <w:t>品牌</w:t>
            </w:r>
          </w:p>
        </w:tc>
        <w:tc>
          <w:tcPr>
            <w:tcW w:type="dxa" w:w="1285"/>
            <w:tcBorders>
              <w:top w:val="single" w:color="000000" w:sz="8"/>
              <w:left w:val="singl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1106"/>
            <w:tcBorders>
              <w:top w:val="single" w:color="000000" w:sz="8"/>
              <w:left w:val="single" w:color="000000" w:sz="4"/>
              <w:bottom w:val="single" w:color="000000" w:sz="4"/>
              <w:right w:val="single" w:color="000000" w:sz="4"/>
            </w:tcBorders>
            <w:vAlign w:val="top"/>
          </w:tcPr>
          <w:p>
            <w:pPr>
              <w:jc w:val="center"/>
            </w:pPr>
            <w:r>
              <w:rPr>
                <w:sz w:val="21"/>
              </w:rPr>
              <w:t>产地</w:t>
            </w:r>
          </w:p>
        </w:tc>
        <w:tc>
          <w:tcPr>
            <w:tcW w:type="dxa" w:w="499"/>
            <w:tcBorders>
              <w:top w:val="single" w:color="000000" w:sz="8"/>
              <w:left w:val="single" w:color="000000" w:sz="4"/>
              <w:bottom w:val="single" w:color="000000" w:sz="4"/>
              <w:right w:val="single" w:color="000000" w:sz="4"/>
            </w:tcBorders>
            <w:vAlign w:val="top"/>
          </w:tcPr>
          <w:p>
            <w:pPr>
              <w:jc w:val="center"/>
            </w:pPr>
            <w:r>
              <w:rPr>
                <w:sz w:val="21"/>
              </w:rPr>
              <w:t>数量</w:t>
            </w:r>
          </w:p>
        </w:tc>
        <w:tc>
          <w:tcPr>
            <w:tcW w:type="dxa" w:w="1225"/>
            <w:tcBorders>
              <w:top w:val="single" w:color="000000" w:sz="8"/>
              <w:left w:val="single" w:color="000000" w:sz="4"/>
              <w:bottom w:val="single" w:color="000000" w:sz="4"/>
              <w:right w:val="single" w:color="000000" w:sz="4"/>
            </w:tcBorders>
            <w:vAlign w:val="top"/>
          </w:tcPr>
          <w:p>
            <w:pPr>
              <w:jc w:val="center"/>
            </w:pPr>
            <w:r>
              <w:rPr>
                <w:sz w:val="21"/>
              </w:rPr>
              <w:t>单价</w:t>
            </w:r>
            <w:r>
              <w:rPr>
                <w:sz w:val="21"/>
              </w:rPr>
              <w:t>(元)</w:t>
            </w:r>
          </w:p>
        </w:tc>
        <w:tc>
          <w:tcPr>
            <w:tcW w:type="dxa" w:w="1297"/>
            <w:tcBorders>
              <w:top w:val="single" w:color="000000" w:sz="8"/>
              <w:left w:val="single" w:color="000000" w:sz="4"/>
              <w:bottom w:val="single" w:color="000000" w:sz="4"/>
              <w:right w:val="single" w:color="000000" w:sz="8"/>
            </w:tcBorders>
            <w:vAlign w:val="top"/>
          </w:tcPr>
          <w:p>
            <w:pPr>
              <w:jc w:val="center"/>
            </w:pPr>
            <w:r>
              <w:rPr>
                <w:sz w:val="21"/>
              </w:rPr>
              <w:t>金额</w:t>
            </w:r>
            <w:r>
              <w:rPr>
                <w:sz w:val="21"/>
              </w:rPr>
              <w:t>(元)</w:t>
            </w:r>
          </w:p>
        </w:tc>
      </w:tr>
      <w:tr>
        <w:tc>
          <w:tcPr>
            <w:tcW w:type="dxa" w:w="404"/>
            <w:tcBorders>
              <w:top w:val="single" w:color="000000" w:sz="4"/>
              <w:left w:val="single" w:color="000000" w:sz="8"/>
              <w:bottom w:val="single" w:color="000000" w:sz="4"/>
              <w:right w:val="single" w:color="000000" w:sz="4"/>
            </w:tcBorders>
            <w:vAlign w:val="top"/>
          </w:tcPr>
          <w:p>
            <w:pPr>
              <w:jc w:val="center"/>
            </w:pPr>
            <w:r>
              <w:rPr>
                <w:sz w:val="21"/>
              </w:rPr>
              <w:t>1</w:t>
            </w:r>
          </w:p>
        </w:tc>
        <w:tc>
          <w:tcPr>
            <w:tcW w:type="dxa" w:w="1689"/>
            <w:tcBorders>
              <w:top w:val="single" w:color="000000" w:sz="4"/>
              <w:left w:val="single" w:color="000000" w:sz="4"/>
              <w:bottom w:val="single" w:color="000000" w:sz="4"/>
              <w:right w:val="single" w:color="000000" w:sz="4"/>
            </w:tcBorders>
            <w:vAlign w:val="top"/>
          </w:tcPr>
          <w:p>
            <w:pPr>
              <w:jc w:val="left"/>
            </w:pPr>
          </w:p>
        </w:tc>
        <w:tc>
          <w:tcPr>
            <w:tcW w:type="dxa" w:w="773"/>
            <w:tcBorders>
              <w:top w:val="single" w:color="000000" w:sz="4"/>
              <w:left w:val="single" w:color="000000" w:sz="4"/>
              <w:bottom w:val="single" w:color="000000" w:sz="4"/>
              <w:right w:val="single" w:color="000000" w:sz="4"/>
            </w:tcBorders>
            <w:vAlign w:val="top"/>
          </w:tcPr>
          <w:p>
            <w:pPr>
              <w:jc w:val="center"/>
            </w:pPr>
          </w:p>
        </w:tc>
        <w:tc>
          <w:tcPr>
            <w:tcW w:type="dxa" w:w="1285"/>
            <w:tcBorders>
              <w:top w:val="single" w:color="000000" w:sz="4"/>
              <w:left w:val="single" w:color="000000" w:sz="4"/>
              <w:bottom w:val="single" w:color="000000" w:sz="4"/>
              <w:right w:val="single" w:color="000000" w:sz="4"/>
            </w:tcBorders>
            <w:vAlign w:val="top"/>
          </w:tcPr>
          <w:p>
            <w:pPr>
              <w:jc w:val="center"/>
            </w:pPr>
          </w:p>
        </w:tc>
        <w:tc>
          <w:tcPr>
            <w:tcW w:type="dxa" w:w="1106"/>
            <w:tcBorders>
              <w:top w:val="single" w:color="000000" w:sz="4"/>
              <w:left w:val="single" w:color="000000" w:sz="4"/>
              <w:bottom w:val="single" w:color="000000" w:sz="4"/>
              <w:right w:val="single" w:color="000000" w:sz="4"/>
            </w:tcBorders>
            <w:vAlign w:val="top"/>
          </w:tcPr>
          <w:p>
            <w:pPr>
              <w:jc w:val="center"/>
            </w:pPr>
          </w:p>
        </w:tc>
        <w:tc>
          <w:tcPr>
            <w:tcW w:type="dxa" w:w="499"/>
            <w:tcBorders>
              <w:top w:val="single" w:color="000000" w:sz="4"/>
              <w:left w:val="single" w:color="000000" w:sz="4"/>
              <w:bottom w:val="single" w:color="000000" w:sz="4"/>
              <w:right w:val="single" w:color="000000" w:sz="4"/>
            </w:tcBorders>
            <w:vAlign w:val="top"/>
          </w:tcPr>
          <w:p>
            <w:pPr>
              <w:jc w:val="center"/>
            </w:pPr>
          </w:p>
        </w:tc>
        <w:tc>
          <w:tcPr>
            <w:tcW w:type="dxa" w:w="1225"/>
            <w:tcBorders>
              <w:top w:val="single" w:color="000000" w:sz="4"/>
              <w:left w:val="single" w:color="000000" w:sz="4"/>
              <w:bottom w:val="single" w:color="000000" w:sz="4"/>
              <w:right w:val="single" w:color="000000" w:sz="4"/>
            </w:tcBorders>
            <w:vAlign w:val="top"/>
          </w:tcPr>
          <w:p>
            <w:pPr>
              <w:jc w:val="center"/>
            </w:pPr>
          </w:p>
        </w:tc>
        <w:tc>
          <w:tcPr>
            <w:tcW w:type="dxa" w:w="1297"/>
            <w:tcBorders>
              <w:top w:val="single" w:color="000000" w:sz="4"/>
              <w:left w:val="single" w:color="000000" w:sz="4"/>
              <w:bottom w:val="single" w:color="000000" w:sz="4"/>
              <w:right w:val="single" w:color="000000" w:sz="8"/>
            </w:tcBorders>
            <w:vAlign w:val="top"/>
          </w:tcPr>
          <w:p>
            <w:pPr>
              <w:jc w:val="center"/>
            </w:pPr>
          </w:p>
        </w:tc>
      </w:tr>
      <w:tr>
        <w:tc>
          <w:tcPr>
            <w:tcW w:type="dxa" w:w="404"/>
            <w:tcBorders>
              <w:top w:val="single" w:color="000000" w:sz="4"/>
              <w:left w:val="single" w:color="000000" w:sz="8"/>
              <w:bottom w:val="single" w:color="000000" w:sz="4"/>
              <w:right w:val="single" w:color="000000" w:sz="4"/>
            </w:tcBorders>
            <w:vAlign w:val="top"/>
          </w:tcPr>
          <w:p>
            <w:pPr>
              <w:jc w:val="center"/>
            </w:pPr>
            <w:r>
              <w:rPr>
                <w:sz w:val="21"/>
              </w:rPr>
              <w:t>2</w:t>
            </w:r>
          </w:p>
        </w:tc>
        <w:tc>
          <w:tcPr>
            <w:tcW w:type="dxa" w:w="1689"/>
            <w:tcBorders>
              <w:top w:val="single" w:color="000000" w:sz="4"/>
              <w:left w:val="single" w:color="000000" w:sz="4"/>
              <w:bottom w:val="single" w:color="000000" w:sz="4"/>
              <w:right w:val="single" w:color="000000" w:sz="4"/>
            </w:tcBorders>
            <w:vAlign w:val="top"/>
          </w:tcPr>
          <w:p>
            <w:pPr>
              <w:jc w:val="left"/>
            </w:pPr>
          </w:p>
        </w:tc>
        <w:tc>
          <w:tcPr>
            <w:tcW w:type="dxa" w:w="773"/>
            <w:tcBorders>
              <w:top w:val="single" w:color="000000" w:sz="4"/>
              <w:left w:val="single" w:color="000000" w:sz="4"/>
              <w:bottom w:val="single" w:color="000000" w:sz="4"/>
              <w:right w:val="single" w:color="000000" w:sz="4"/>
            </w:tcBorders>
            <w:vAlign w:val="top"/>
          </w:tcPr>
          <w:p>
            <w:pPr>
              <w:jc w:val="center"/>
            </w:pPr>
          </w:p>
        </w:tc>
        <w:tc>
          <w:tcPr>
            <w:tcW w:type="dxa" w:w="1285"/>
            <w:tcBorders>
              <w:top w:val="single" w:color="000000" w:sz="4"/>
              <w:left w:val="single" w:color="000000" w:sz="4"/>
              <w:bottom w:val="single" w:color="000000" w:sz="4"/>
              <w:right w:val="single" w:color="000000" w:sz="4"/>
            </w:tcBorders>
            <w:vAlign w:val="top"/>
          </w:tcPr>
          <w:p>
            <w:pPr>
              <w:jc w:val="center"/>
            </w:pPr>
          </w:p>
        </w:tc>
        <w:tc>
          <w:tcPr>
            <w:tcW w:type="dxa" w:w="1106"/>
            <w:tcBorders>
              <w:top w:val="single" w:color="000000" w:sz="4"/>
              <w:left w:val="single" w:color="000000" w:sz="4"/>
              <w:bottom w:val="single" w:color="000000" w:sz="4"/>
              <w:right w:val="single" w:color="000000" w:sz="4"/>
            </w:tcBorders>
            <w:vAlign w:val="top"/>
          </w:tcPr>
          <w:p>
            <w:pPr>
              <w:jc w:val="center"/>
            </w:pPr>
          </w:p>
        </w:tc>
        <w:tc>
          <w:tcPr>
            <w:tcW w:type="dxa" w:w="499"/>
            <w:tcBorders>
              <w:top w:val="single" w:color="000000" w:sz="4"/>
              <w:left w:val="single" w:color="000000" w:sz="4"/>
              <w:bottom w:val="single" w:color="000000" w:sz="4"/>
              <w:right w:val="single" w:color="000000" w:sz="4"/>
            </w:tcBorders>
            <w:vAlign w:val="top"/>
          </w:tcPr>
          <w:p>
            <w:pPr>
              <w:jc w:val="center"/>
            </w:pPr>
          </w:p>
        </w:tc>
        <w:tc>
          <w:tcPr>
            <w:tcW w:type="dxa" w:w="1225"/>
            <w:tcBorders>
              <w:top w:val="single" w:color="000000" w:sz="4"/>
              <w:left w:val="single" w:color="000000" w:sz="4"/>
              <w:bottom w:val="single" w:color="000000" w:sz="4"/>
              <w:right w:val="single" w:color="000000" w:sz="4"/>
            </w:tcBorders>
            <w:vAlign w:val="top"/>
          </w:tcPr>
          <w:p>
            <w:pPr>
              <w:jc w:val="center"/>
            </w:pPr>
          </w:p>
        </w:tc>
        <w:tc>
          <w:tcPr>
            <w:tcW w:type="dxa" w:w="1297"/>
            <w:tcBorders>
              <w:top w:val="single" w:color="000000" w:sz="4"/>
              <w:left w:val="single" w:color="000000" w:sz="4"/>
              <w:bottom w:val="single" w:color="000000" w:sz="4"/>
              <w:right w:val="single" w:color="000000" w:sz="8"/>
            </w:tcBorders>
            <w:vAlign w:val="top"/>
          </w:tcPr>
          <w:p>
            <w:pPr>
              <w:jc w:val="center"/>
            </w:pPr>
          </w:p>
        </w:tc>
      </w:tr>
      <w:tr>
        <w:tc>
          <w:tcPr>
            <w:tcW w:type="dxa" w:w="8278"/>
            <w:gridSpan w:val="8"/>
            <w:tcBorders>
              <w:top w:val="single" w:color="000000" w:sz="4"/>
              <w:left w:val="single" w:color="000000" w:sz="8"/>
              <w:bottom w:val="single" w:color="000000" w:sz="8"/>
              <w:right w:val="single" w:color="000000" w:sz="8"/>
            </w:tcBorders>
            <w:vAlign w:val="top"/>
          </w:tcPr>
          <w:p>
            <w:pPr>
              <w:jc w:val="center"/>
            </w:pPr>
            <w:r>
              <w:rPr>
                <w:sz w:val="21"/>
              </w:rPr>
              <w:t>合计总额：￥</w:t>
            </w:r>
            <w:r>
              <w:rPr>
                <w:sz w:val="21"/>
                <w:u w:val="single"/>
              </w:rPr>
              <w:t xml:space="preserve">    </w:t>
            </w:r>
            <w:r>
              <w:rPr>
                <w:sz w:val="21"/>
                <w:u w:val="single"/>
              </w:rPr>
              <w:t>0.00</w:t>
            </w:r>
            <w:r>
              <w:rPr>
                <w:sz w:val="21"/>
              </w:rPr>
              <w:t>元；大写：人民币</w:t>
            </w:r>
            <w:r>
              <w:rPr>
                <w:sz w:val="21"/>
                <w:u w:val="single"/>
              </w:rPr>
              <w:t xml:space="preserve">       </w:t>
            </w:r>
            <w:r>
              <w:rPr>
                <w:sz w:val="21"/>
                <w:u w:val="single"/>
              </w:rPr>
              <w:t>佰</w:t>
            </w:r>
            <w:r>
              <w:rPr>
                <w:sz w:val="21"/>
              </w:rPr>
              <w:t>元整</w:t>
            </w:r>
          </w:p>
        </w:tc>
      </w:tr>
    </w:tbl>
    <w:p>
      <w:pPr>
        <w:jc w:val="both"/>
      </w:pPr>
      <w:r>
        <w:rPr>
          <w:sz w:val="21"/>
        </w:rPr>
        <w:t>（</w:t>
      </w:r>
      <w:r>
        <w:rPr>
          <w:sz w:val="21"/>
        </w:rPr>
        <w:t>一）</w:t>
      </w:r>
      <w:r>
        <w:rPr>
          <w:sz w:val="21"/>
        </w:rPr>
        <w:t>合同金额为广东省佛山市目的地包干价。</w:t>
      </w:r>
    </w:p>
    <w:p>
      <w:pPr>
        <w:jc w:val="both"/>
      </w:pPr>
      <w:r>
        <w:rPr>
          <w:sz w:val="21"/>
        </w:rPr>
        <w:t>（</w:t>
      </w:r>
      <w:r>
        <w:rPr>
          <w:sz w:val="21"/>
        </w:rPr>
        <w:t>二）</w:t>
      </w:r>
      <w:r>
        <w:rPr>
          <w:sz w:val="21"/>
        </w:rPr>
        <w:t>合同金额中必须包括货物及零配件、运输费、装卸费、保险费、安装费、调试费、材料费、技术服务费（含联络费、培训费、保修费、计量校准费用）、各项税费及合同实施过程中应预见和不可预见费等完成本采购内容所需的一切费用。</w:t>
      </w:r>
    </w:p>
    <w:p>
      <w:pPr>
        <w:jc w:val="both"/>
      </w:pPr>
      <w:r>
        <w:rPr>
          <w:sz w:val="21"/>
        </w:rPr>
        <w:t>（</w:t>
      </w:r>
      <w:r>
        <w:rPr>
          <w:sz w:val="21"/>
        </w:rPr>
        <w:t>三）</w:t>
      </w:r>
      <w:r>
        <w:rPr>
          <w:sz w:val="21"/>
        </w:rPr>
        <w:t>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w:t>
      </w:r>
      <w:r>
        <w:rPr>
          <w:b/>
          <w:sz w:val="21"/>
        </w:rPr>
        <w:t>合同金额</w:t>
      </w:r>
    </w:p>
    <w:p>
      <w:pPr>
        <w:jc w:val="both"/>
      </w:pPr>
      <w:r>
        <w:rPr>
          <w:sz w:val="21"/>
        </w:rPr>
        <w:t>合同金额为（大写）：人民币</w:t>
      </w:r>
      <w:r>
        <w:rPr>
          <w:sz w:val="21"/>
        </w:rPr>
        <w:t xml:space="preserve">       </w:t>
      </w:r>
      <w:r>
        <w:rPr>
          <w:sz w:val="21"/>
        </w:rPr>
        <w:t>元整</w:t>
      </w:r>
      <w:r>
        <w:rPr>
          <w:sz w:val="21"/>
        </w:rPr>
        <w:t>（￥</w:t>
      </w:r>
      <w:r>
        <w:rPr>
          <w:sz w:val="21"/>
        </w:rPr>
        <w:t xml:space="preserve">     </w:t>
      </w:r>
      <w:r>
        <w:rPr>
          <w:sz w:val="21"/>
        </w:rPr>
        <w:t>.00元）。</w:t>
      </w:r>
    </w:p>
    <w:p>
      <w:pPr>
        <w:jc w:val="both"/>
      </w:pPr>
      <w:r>
        <w:rPr>
          <w:b/>
          <w:sz w:val="21"/>
        </w:rPr>
        <w:t>三、</w:t>
      </w:r>
      <w:r>
        <w:rPr>
          <w:b/>
          <w:sz w:val="21"/>
        </w:rPr>
        <w:t>交货期、交货方式及交货地点</w:t>
      </w:r>
    </w:p>
    <w:p>
      <w:pPr>
        <w:jc w:val="both"/>
      </w:pPr>
      <w:r>
        <w:rPr>
          <w:sz w:val="21"/>
        </w:rPr>
        <w:t>（</w:t>
      </w:r>
      <w:r>
        <w:rPr>
          <w:sz w:val="21"/>
        </w:rPr>
        <w:t>一）</w:t>
      </w:r>
      <w:r>
        <w:rPr>
          <w:sz w:val="21"/>
        </w:rPr>
        <w:t>交货期：自合同签订之日起</w:t>
      </w:r>
      <w:r>
        <w:rPr>
          <w:sz w:val="21"/>
          <w:u w:val="single"/>
        </w:rPr>
        <w:t xml:space="preserve">    </w:t>
      </w:r>
      <w:r>
        <w:rPr>
          <w:sz w:val="21"/>
        </w:rPr>
        <w:t>日历天交付并验收合格</w:t>
      </w:r>
      <w:r>
        <w:rPr>
          <w:sz w:val="21"/>
        </w:rPr>
        <w:t>。</w:t>
      </w:r>
    </w:p>
    <w:p>
      <w:pPr>
        <w:jc w:val="both"/>
      </w:pPr>
      <w:r>
        <w:rPr>
          <w:sz w:val="21"/>
        </w:rPr>
        <w:t>（</w:t>
      </w:r>
      <w:r>
        <w:rPr>
          <w:sz w:val="21"/>
        </w:rPr>
        <w:t>二）</w:t>
      </w:r>
      <w:r>
        <w:rPr>
          <w:sz w:val="21"/>
        </w:rPr>
        <w:t>交</w:t>
      </w:r>
      <w:r>
        <w:rPr>
          <w:sz w:val="21"/>
        </w:rPr>
        <w:t>货方式：详见</w:t>
      </w:r>
      <w:r>
        <w:rPr>
          <w:sz w:val="21"/>
          <w:u w:val="single"/>
        </w:rPr>
        <w:t>四</w:t>
      </w:r>
      <w:r>
        <w:rPr>
          <w:sz w:val="21"/>
          <w:u w:val="single"/>
        </w:rPr>
        <w:t>、商务条款</w:t>
      </w:r>
      <w:r>
        <w:rPr>
          <w:sz w:val="21"/>
          <w:u w:val="single"/>
        </w:rPr>
        <w:t>；五、</w:t>
      </w:r>
      <w:r>
        <w:rPr>
          <w:sz w:val="21"/>
          <w:u w:val="single"/>
        </w:rPr>
        <w:t>包装、保险及发运、保管要求</w:t>
      </w:r>
      <w:r>
        <w:rPr>
          <w:sz w:val="21"/>
        </w:rPr>
        <w:t>。</w:t>
      </w:r>
    </w:p>
    <w:p>
      <w:pPr>
        <w:jc w:val="both"/>
      </w:pPr>
      <w:r>
        <w:rPr>
          <w:sz w:val="21"/>
        </w:rPr>
        <w:t>（</w:t>
      </w:r>
      <w:r>
        <w:rPr>
          <w:sz w:val="21"/>
        </w:rPr>
        <w:t>三）</w:t>
      </w:r>
      <w:r>
        <w:rPr>
          <w:sz w:val="21"/>
        </w:rPr>
        <w:t>交货地点：佛山市质量计量监督检测中心</w:t>
      </w:r>
      <w:r>
        <w:rPr>
          <w:sz w:val="21"/>
        </w:rPr>
        <w:t>。</w:t>
      </w:r>
    </w:p>
    <w:p>
      <w:pPr>
        <w:jc w:val="both"/>
      </w:pPr>
      <w:r>
        <w:rPr>
          <w:b/>
          <w:sz w:val="21"/>
        </w:rPr>
        <w:t>四、</w:t>
      </w:r>
      <w:r>
        <w:rPr>
          <w:b/>
          <w:sz w:val="21"/>
        </w:rPr>
        <w:t>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,将所有产生的垃圾带走。</w:t>
      </w:r>
    </w:p>
    <w:p>
      <w:pPr>
        <w:jc w:val="both"/>
      </w:pPr>
      <w:r>
        <w:rPr>
          <w:b/>
          <w:sz w:val="21"/>
        </w:rPr>
        <w:t>五、</w:t>
      </w:r>
      <w:r>
        <w:rPr>
          <w:b/>
          <w:sz w:val="21"/>
        </w:rPr>
        <w:t>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（二）乙方负责将设备材料货到现场过程中的全部运输，包括装卸车、货物现场的搬运。</w:t>
      </w:r>
    </w:p>
    <w:p>
      <w:pPr>
        <w:jc w:val="both"/>
      </w:pPr>
      <w:r>
        <w:rPr>
          <w:sz w:val="21"/>
        </w:rPr>
        <w:t>（三）各种设备必须提供装箱清单，按装箱清单验收货物。</w:t>
      </w:r>
    </w:p>
    <w:p>
      <w:pPr>
        <w:jc w:val="both"/>
      </w:pPr>
      <w:r>
        <w:rPr>
          <w:sz w:val="21"/>
        </w:rPr>
        <w:t>（四）货物在现场的保管由乙方负责，直至项目安装、验收完毕。</w:t>
      </w:r>
    </w:p>
    <w:p>
      <w:pPr>
        <w:jc w:val="both"/>
      </w:pPr>
      <w:r>
        <w:rPr>
          <w:sz w:val="21"/>
        </w:rPr>
        <w:t>（五）货物在系统安装调试验收合格前的保险由乙方负责，乙方负责其派出的现场服务人员人身意外责任，并应为服务人员购买相关保险。</w:t>
      </w:r>
    </w:p>
    <w:p>
      <w:pPr>
        <w:jc w:val="both"/>
      </w:pPr>
      <w:r>
        <w:rPr>
          <w:sz w:val="21"/>
        </w:rPr>
        <w:t>（六）设备至甲方指定的使用现场的包装、保险及发运等环节和费用均由乙方负责。</w:t>
      </w:r>
    </w:p>
    <w:p>
      <w:pPr>
        <w:jc w:val="both"/>
      </w:pPr>
      <w:r>
        <w:rPr>
          <w:b/>
          <w:sz w:val="21"/>
        </w:rPr>
        <w:t>六、</w:t>
      </w:r>
      <w:r>
        <w:rPr>
          <w:b/>
          <w:sz w:val="21"/>
        </w:rPr>
        <w:t>培训</w:t>
      </w:r>
    </w:p>
    <w:p>
      <w:pPr>
        <w:jc w:val="both"/>
      </w:pPr>
      <w:r>
        <w:rPr>
          <w:sz w:val="21"/>
        </w:rPr>
        <w:t>（</w:t>
      </w:r>
      <w:r>
        <w:rPr>
          <w:sz w:val="21"/>
        </w:rPr>
        <w:t>一）</w:t>
      </w:r>
      <w:r>
        <w:rPr>
          <w:sz w:val="21"/>
        </w:rPr>
        <w:t>乙</w:t>
      </w:r>
      <w:r>
        <w:rPr>
          <w:sz w:val="21"/>
        </w:rPr>
        <w:t>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（二）乙方必须为所有被培训人员提供培训使用的文字资料和讲义等相关用品。乙方必须协助甲方建立实验室功效测试方法，并协助甲方运行功效测评直至出具功效检测典型报告。</w:t>
      </w:r>
    </w:p>
    <w:p>
      <w:pPr>
        <w:jc w:val="both"/>
      </w:pPr>
      <w:r>
        <w:rPr>
          <w:sz w:val="21"/>
        </w:rPr>
        <w:t>（三）所有的培训费用</w:t>
      </w:r>
      <w:r>
        <w:rPr>
          <w:sz w:val="21"/>
        </w:rPr>
        <w:t>包括差旅、食宿、教材、资料等由乙方负责，均包含在合同金额中。</w:t>
      </w:r>
    </w:p>
    <w:p>
      <w:pPr>
        <w:jc w:val="both"/>
      </w:pPr>
      <w:r>
        <w:rPr>
          <w:b/>
          <w:sz w:val="21"/>
        </w:rPr>
        <w:t>七、</w:t>
      </w:r>
      <w:r>
        <w:rPr>
          <w:b/>
          <w:sz w:val="21"/>
        </w:rPr>
        <w:t>质保期及售后服务要求</w:t>
      </w:r>
    </w:p>
    <w:p>
      <w:pPr>
        <w:jc w:val="both"/>
      </w:pPr>
      <w:r>
        <w:rPr>
          <w:sz w:val="21"/>
        </w:rPr>
        <w:t>（</w:t>
      </w:r>
      <w:r>
        <w:rPr>
          <w:sz w:val="21"/>
        </w:rPr>
        <w:t>一）</w:t>
      </w:r>
      <w:r>
        <w:rPr>
          <w:sz w:val="21"/>
        </w:rPr>
        <w:t>质量保证</w:t>
      </w:r>
      <w:r>
        <w:rPr>
          <w:sz w:val="21"/>
        </w:rPr>
        <w:t>期（简称</w:t>
      </w:r>
      <w:r>
        <w:rPr>
          <w:sz w:val="21"/>
        </w:rPr>
        <w:t>“质保期”）为所有设备自交付验收合格之日起  年，质保期内乙方对所供货物实行包修、包换、包退、包维护保养，期满后可同时提供终身维修保养服务。</w:t>
      </w:r>
    </w:p>
    <w:p>
      <w:pPr>
        <w:jc w:val="both"/>
      </w:pPr>
      <w:r>
        <w:rPr>
          <w:sz w:val="21"/>
        </w:rPr>
        <w:t>（</w:t>
      </w:r>
      <w:r>
        <w:rPr>
          <w:sz w:val="21"/>
        </w:rPr>
        <w:t>二）质保期内发生的质量问题，由乙方负责免费解决（因甲方使用不当或其他人为因素造成的故障除外）。如货物因自身故障致停用时间累计超过</w:t>
      </w:r>
      <w:r>
        <w:rPr>
          <w:sz w:val="21"/>
        </w:rPr>
        <w:t>20天时，则质保期在状态恢复正常时重新计算或对故障设备予以重新更换。</w:t>
      </w:r>
    </w:p>
    <w:p>
      <w:pPr>
        <w:jc w:val="both"/>
      </w:pPr>
      <w:r>
        <w:rPr>
          <w:sz w:val="21"/>
        </w:rPr>
        <w:t>（</w:t>
      </w:r>
      <w:r>
        <w:rPr>
          <w:sz w:val="21"/>
        </w:rPr>
        <w:t>三）任何时候，乙方均不能免除因货物本身的缺陷所应负的责任。</w:t>
      </w:r>
    </w:p>
    <w:p>
      <w:pPr>
        <w:jc w:val="both"/>
      </w:pPr>
      <w:r>
        <w:rPr>
          <w:sz w:val="21"/>
        </w:rPr>
        <w:t>（</w:t>
      </w:r>
      <w:r>
        <w:rPr>
          <w:sz w:val="21"/>
        </w:rPr>
        <w:t>四）质保期内乙方提供上门免费服务，在质保期内设置每周</w:t>
      </w:r>
      <w:r>
        <w:rPr>
          <w:sz w:val="21"/>
        </w:rPr>
        <w:t>7天×24小时服务专线和长期的免费技术支持，对甲方的服务通知，乙方必须在接报后1小时内响应，72小时内到达现场，6天内处理完毕。若故障规定时间内未能处理完毕的，乙方必须免费</w:t>
      </w:r>
      <w:r>
        <w:rPr>
          <w:sz w:val="21"/>
        </w:rPr>
        <w:t>提供同等的设备予甲方临时使用或采取应急措施解决，不得影响甲方的正常工作业务。</w:t>
      </w:r>
    </w:p>
    <w:p>
      <w:pPr>
        <w:jc w:val="both"/>
      </w:pPr>
      <w:r>
        <w:rPr>
          <w:b/>
          <w:sz w:val="21"/>
        </w:rPr>
        <w:t>八、</w:t>
      </w:r>
      <w:r>
        <w:rPr>
          <w:b/>
          <w:sz w:val="21"/>
        </w:rPr>
        <w:t>安装、调试与验收</w:t>
      </w:r>
    </w:p>
    <w:p>
      <w:pPr>
        <w:jc w:val="both"/>
      </w:pPr>
      <w:r>
        <w:rPr>
          <w:sz w:val="21"/>
        </w:rPr>
        <w:t>（</w:t>
      </w:r>
      <w:r>
        <w:rPr>
          <w:sz w:val="21"/>
        </w:rPr>
        <w:t>一）</w:t>
      </w:r>
      <w:r>
        <w:rPr>
          <w:sz w:val="21"/>
        </w:rPr>
        <w:t>货物为</w:t>
      </w:r>
      <w:r>
        <w:rPr>
          <w:sz w:val="21"/>
        </w:rPr>
        <w:t>原制造商制造的全新产品，无污染，无侵权行为、表面无划损、无任何缺陷隐患，在中国境内可依规安全合法使用。进口产品必须具备原产地证明或海关的相关证明或合法进货渠道证明。甲方有权要求乙方提供进口货物的报关单。</w:t>
      </w:r>
    </w:p>
    <w:p>
      <w:pPr>
        <w:jc w:val="both"/>
      </w:pPr>
      <w:r>
        <w:rPr>
          <w:sz w:val="21"/>
        </w:rPr>
        <w:t>（</w:t>
      </w:r>
      <w:r>
        <w:rPr>
          <w:sz w:val="21"/>
        </w:rPr>
        <w:t>二）依次序对照适用标准为：</w:t>
      </w:r>
      <w:r>
        <w:rPr>
          <w:sz w:val="21"/>
        </w:rPr>
        <w:t>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pPr>
        <w:jc w:val="both"/>
      </w:pPr>
      <w:r>
        <w:rPr>
          <w:sz w:val="21"/>
        </w:rPr>
        <w:t>（</w:t>
      </w:r>
      <w:r>
        <w:rPr>
          <w:sz w:val="21"/>
        </w:rPr>
        <w:t>三）安装调试：</w:t>
      </w:r>
    </w:p>
    <w:p>
      <w:r>
        <w:rPr>
          <w:sz w:val="21"/>
        </w:rPr>
        <w:t>1.</w:t>
      </w:r>
      <w:r>
        <w:rPr>
          <w:sz w:val="21"/>
        </w:rPr>
        <w:t>乙方负责到甲方指定的安装地点进行安装调试。</w:t>
      </w:r>
    </w:p>
    <w:p>
      <w:r>
        <w:rPr>
          <w:sz w:val="21"/>
        </w:rPr>
        <w:t>2.</w:t>
      </w:r>
      <w:r>
        <w:rPr>
          <w:sz w:val="21"/>
        </w:rPr>
        <w:t>乙方必须提供设备安装、集成及调测服务，并确保调试完成后，设备能够正常运行，达到甲方可正</w:t>
      </w:r>
      <w:r>
        <w:rPr>
          <w:sz w:val="21"/>
        </w:rPr>
        <w:t>常使用状态。</w:t>
      </w:r>
    </w:p>
    <w:p>
      <w:r>
        <w:rPr>
          <w:sz w:val="21"/>
        </w:rPr>
        <w:t>3.</w:t>
      </w:r>
      <w:r>
        <w:rPr>
          <w:sz w:val="21"/>
        </w:rPr>
        <w:t>安装所需工具设施物料由乙方自备、自费运到现场，完工后自费搬走。</w:t>
      </w:r>
    </w:p>
    <w:p>
      <w:r>
        <w:rPr>
          <w:sz w:val="21"/>
        </w:rPr>
        <w:t>4.</w:t>
      </w:r>
      <w:r>
        <w:rPr>
          <w:sz w:val="21"/>
        </w:rPr>
        <w:t>设备、材料的拆箱、安装、通电、调试等工作由乙方负责，但若甲方有特定要求需要参与的，则须在甲方指定人员的参与下进行。</w:t>
      </w:r>
    </w:p>
    <w:p>
      <w:r>
        <w:rPr>
          <w:sz w:val="21"/>
        </w:rPr>
        <w:t>5.</w:t>
      </w:r>
      <w:r>
        <w:rPr>
          <w:sz w:val="21"/>
        </w:rPr>
        <w:t>调试：按国家相关验收规范进行。调试的原始记录须经双方签字后作为验收的文件之一。</w:t>
      </w:r>
    </w:p>
    <w:p>
      <w:r>
        <w:rPr>
          <w:sz w:val="21"/>
        </w:rPr>
        <w:t>6.</w:t>
      </w:r>
      <w:r>
        <w:rPr>
          <w:sz w:val="21"/>
        </w:rPr>
        <w:t>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jc w:val="both"/>
      </w:pPr>
      <w:r>
        <w:rPr>
          <w:sz w:val="21"/>
        </w:rPr>
        <w:t>（</w:t>
      </w:r>
      <w:r>
        <w:rPr>
          <w:sz w:val="21"/>
        </w:rPr>
        <w:t>四）</w:t>
      </w:r>
      <w:r>
        <w:rPr>
          <w:sz w:val="21"/>
        </w:rPr>
        <w:t>验</w:t>
      </w:r>
      <w:r>
        <w:rPr>
          <w:sz w:val="21"/>
        </w:rPr>
        <w:t>收由乙方、甲方依国家有关标准、计量校准、合同及有关附件要求进行。乙方须为验收提供必需的相关条件及一切费用。</w:t>
      </w:r>
    </w:p>
    <w:p>
      <w:pPr>
        <w:jc w:val="both"/>
      </w:pPr>
      <w:r>
        <w:rPr>
          <w:sz w:val="21"/>
        </w:rPr>
        <w:t>（</w:t>
      </w:r>
      <w:r>
        <w:rPr>
          <w:sz w:val="21"/>
        </w:rPr>
        <w:t>五）技术资</w:t>
      </w:r>
      <w:r>
        <w:rPr>
          <w:sz w:val="21"/>
        </w:rPr>
        <w:t>料：</w:t>
      </w:r>
    </w:p>
    <w:p>
      <w:r>
        <w:rPr>
          <w:sz w:val="21"/>
        </w:rPr>
        <w:t>1.</w:t>
      </w:r>
      <w:r>
        <w:rPr>
          <w:sz w:val="21"/>
        </w:rPr>
        <w:t>交货时，乙方应同时交付产品中文使用手册、质量检验证书（合格证）及设备维护说明等相关资料。</w:t>
      </w:r>
    </w:p>
    <w:p>
      <w:r>
        <w:rPr>
          <w:sz w:val="21"/>
        </w:rPr>
        <w:t>2.</w:t>
      </w:r>
      <w:r>
        <w:rPr>
          <w:sz w:val="21"/>
        </w:rPr>
        <w:t>验收后，乙方应向甲方提供验收报告。验收完毕由甲方及乙方在验收报告上签名确认。</w:t>
      </w:r>
    </w:p>
    <w:p>
      <w:pPr>
        <w:jc w:val="both"/>
      </w:pPr>
      <w:r>
        <w:rPr>
          <w:b/>
          <w:sz w:val="21"/>
        </w:rPr>
        <w:t>九、</w:t>
      </w:r>
      <w:r>
        <w:rPr>
          <w:b/>
          <w:sz w:val="21"/>
        </w:rPr>
        <w:t>付款方式</w:t>
      </w:r>
    </w:p>
    <w:p>
      <w:pPr>
        <w:jc w:val="both"/>
      </w:pPr>
      <w:r>
        <w:rPr>
          <w:sz w:val="21"/>
        </w:rPr>
        <w:t>由甲方按下列程序分三期付款：</w:t>
      </w:r>
    </w:p>
    <w:p>
      <w:pPr>
        <w:jc w:val="both"/>
      </w:pPr>
      <w:r>
        <w:rPr>
          <w:sz w:val="21"/>
        </w:rPr>
        <w:t>（</w:t>
      </w:r>
      <w:r>
        <w:rPr>
          <w:sz w:val="21"/>
        </w:rPr>
        <w:t>一）</w:t>
      </w:r>
      <w:r>
        <w:rPr>
          <w:sz w:val="21"/>
        </w:rPr>
        <w:t>第一期</w:t>
      </w:r>
      <w:r>
        <w:rPr>
          <w:sz w:val="21"/>
        </w:rPr>
        <w:t>（</w:t>
      </w:r>
      <w:r>
        <w:rPr>
          <w:sz w:val="21"/>
        </w:rPr>
        <w:t>预付款</w:t>
      </w:r>
      <w:r>
        <w:rPr>
          <w:sz w:val="21"/>
        </w:rPr>
        <w:t>）</w:t>
      </w:r>
      <w:r>
        <w:rPr>
          <w:sz w:val="21"/>
        </w:rPr>
        <w:t>：</w:t>
      </w:r>
      <w:r>
        <w:rPr>
          <w:sz w:val="21"/>
        </w:rPr>
        <w:t>合同签订生效之日起</w:t>
      </w:r>
      <w:r>
        <w:rPr>
          <w:sz w:val="21"/>
        </w:rPr>
        <w:t>5</w:t>
      </w:r>
      <w:r>
        <w:rPr>
          <w:sz w:val="21"/>
        </w:rPr>
        <w:t>个工作日内，</w:t>
      </w:r>
      <w:r>
        <w:rPr>
          <w:sz w:val="21"/>
        </w:rPr>
        <w:t>甲方</w:t>
      </w:r>
      <w:r>
        <w:rPr>
          <w:sz w:val="21"/>
        </w:rPr>
        <w:t>向</w:t>
      </w:r>
      <w:r>
        <w:rPr>
          <w:sz w:val="21"/>
        </w:rPr>
        <w:t>乙方</w:t>
      </w:r>
      <w:r>
        <w:rPr>
          <w:sz w:val="21"/>
        </w:rPr>
        <w:t>支付合同总价的</w:t>
      </w:r>
      <w:r>
        <w:rPr>
          <w:sz w:val="21"/>
        </w:rPr>
        <w:t>30%。</w:t>
      </w:r>
      <w:r>
        <w:rPr>
          <w:sz w:val="21"/>
        </w:rPr>
        <w:t>即￥</w:t>
      </w:r>
      <w:r>
        <w:rPr>
          <w:sz w:val="21"/>
        </w:rPr>
        <w:t xml:space="preserve">     </w:t>
      </w:r>
      <w:r>
        <w:rPr>
          <w:sz w:val="21"/>
        </w:rPr>
        <w:t>.00元（人民币     元整）</w:t>
      </w:r>
      <w:r>
        <w:rPr>
          <w:sz w:val="21"/>
        </w:rPr>
        <w:t>。</w:t>
      </w:r>
    </w:p>
    <w:p>
      <w:pPr>
        <w:jc w:val="both"/>
      </w:pPr>
      <w:r>
        <w:rPr>
          <w:sz w:val="21"/>
        </w:rPr>
        <w:t>（</w:t>
      </w:r>
      <w:r>
        <w:rPr>
          <w:sz w:val="21"/>
        </w:rPr>
        <w:t>二）</w:t>
      </w:r>
      <w:r>
        <w:rPr>
          <w:sz w:val="21"/>
        </w:rPr>
        <w:t>第二期：</w:t>
      </w:r>
      <w:r>
        <w:rPr>
          <w:sz w:val="21"/>
        </w:rPr>
        <w:t>所有设备安装调试完毕并由</w:t>
      </w:r>
      <w:r>
        <w:rPr>
          <w:sz w:val="21"/>
        </w:rPr>
        <w:t>甲方</w:t>
      </w:r>
      <w:r>
        <w:rPr>
          <w:sz w:val="21"/>
        </w:rPr>
        <w:t>总体验收合格之日起</w:t>
      </w:r>
      <w:r>
        <w:rPr>
          <w:sz w:val="21"/>
        </w:rPr>
        <w:t>15</w:t>
      </w:r>
      <w:r>
        <w:rPr>
          <w:sz w:val="21"/>
        </w:rPr>
        <w:t>日内，</w:t>
      </w:r>
      <w:r>
        <w:rPr>
          <w:sz w:val="21"/>
        </w:rPr>
        <w:t>甲方</w:t>
      </w:r>
      <w:r>
        <w:rPr>
          <w:sz w:val="21"/>
        </w:rPr>
        <w:t>向</w:t>
      </w:r>
      <w:r>
        <w:rPr>
          <w:sz w:val="21"/>
        </w:rPr>
        <w:t>乙方</w:t>
      </w:r>
      <w:r>
        <w:rPr>
          <w:sz w:val="21"/>
        </w:rPr>
        <w:t>支付合同总价的</w:t>
      </w:r>
      <w:r>
        <w:rPr>
          <w:sz w:val="21"/>
        </w:rPr>
        <w:t>65%</w:t>
      </w:r>
      <w:r>
        <w:rPr>
          <w:sz w:val="21"/>
        </w:rPr>
        <w:t>，即￥</w:t>
      </w:r>
      <w:r>
        <w:rPr>
          <w:sz w:val="21"/>
        </w:rPr>
        <w:t xml:space="preserve">     </w:t>
      </w:r>
      <w:r>
        <w:rPr>
          <w:sz w:val="21"/>
        </w:rPr>
        <w:t xml:space="preserve">.00元（人民币     </w:t>
      </w:r>
      <w:r>
        <w:rPr>
          <w:sz w:val="21"/>
        </w:rPr>
        <w:t>元整）。</w:t>
      </w:r>
    </w:p>
    <w:p>
      <w:pPr>
        <w:jc w:val="both"/>
      </w:pPr>
      <w:r>
        <w:rPr>
          <w:sz w:val="21"/>
        </w:rPr>
        <w:t>（</w:t>
      </w:r>
      <w:r>
        <w:rPr>
          <w:sz w:val="21"/>
        </w:rPr>
        <w:t>三）</w:t>
      </w:r>
      <w:r>
        <w:rPr>
          <w:sz w:val="21"/>
        </w:rPr>
        <w:t>第三期</w:t>
      </w:r>
      <w:r>
        <w:rPr>
          <w:sz w:val="21"/>
        </w:rPr>
        <w:t>：</w:t>
      </w:r>
      <w:r>
        <w:rPr>
          <w:sz w:val="21"/>
        </w:rPr>
        <w:t>合同总价的</w:t>
      </w:r>
      <w:r>
        <w:rPr>
          <w:sz w:val="21"/>
        </w:rPr>
        <w:t>5%</w:t>
      </w:r>
      <w:r>
        <w:rPr>
          <w:sz w:val="21"/>
        </w:rPr>
        <w:t>即￥</w:t>
      </w:r>
      <w:r>
        <w:rPr>
          <w:sz w:val="21"/>
        </w:rPr>
        <w:t xml:space="preserve">     </w:t>
      </w:r>
      <w:r>
        <w:rPr>
          <w:sz w:val="21"/>
        </w:rPr>
        <w:t>.00元（人民币     元整）</w:t>
      </w:r>
      <w:r>
        <w:rPr>
          <w:sz w:val="21"/>
        </w:rPr>
        <w:t>作为</w:t>
      </w:r>
      <w:r>
        <w:rPr>
          <w:sz w:val="21"/>
        </w:rPr>
        <w:t>尾款</w:t>
      </w:r>
      <w:r>
        <w:rPr>
          <w:sz w:val="21"/>
        </w:rPr>
        <w:t>，</w:t>
      </w:r>
      <w:r>
        <w:rPr>
          <w:sz w:val="21"/>
        </w:rPr>
        <w:t>在乙方没有待解决的</w:t>
      </w:r>
      <w:r>
        <w:rPr>
          <w:sz w:val="21"/>
        </w:rPr>
        <w:t>问题或问题</w:t>
      </w:r>
      <w:r>
        <w:rPr>
          <w:sz w:val="21"/>
        </w:rPr>
        <w:t>已全部按</w:t>
      </w:r>
      <w:r>
        <w:rPr>
          <w:sz w:val="21"/>
        </w:rPr>
        <w:t>合同</w:t>
      </w:r>
      <w:r>
        <w:rPr>
          <w:sz w:val="21"/>
        </w:rPr>
        <w:t>的规定妥善解决的前提下，货物已完全投入使用且连续使用满十二个月后的</w:t>
      </w:r>
      <w:r>
        <w:rPr>
          <w:sz w:val="21"/>
        </w:rPr>
        <w:t>15日内，甲方向乙方支付该合同余款。</w:t>
      </w:r>
    </w:p>
    <w:p>
      <w:pPr>
        <w:jc w:val="both"/>
      </w:pPr>
      <w:r>
        <w:rPr>
          <w:sz w:val="21"/>
        </w:rPr>
        <w:t>（</w:t>
      </w:r>
      <w:r>
        <w:rPr>
          <w:sz w:val="21"/>
        </w:rPr>
        <w:t>四）</w:t>
      </w:r>
      <w:r>
        <w:rPr>
          <w:sz w:val="21"/>
        </w:rPr>
        <w:t>每期付款由乙方提出申请，总体验收合格时提供该合同相应总金额的增值税专用发票，方可办理支付手续；收款方、出具发票方、合同乙方均必须与</w:t>
      </w:r>
      <w:r>
        <w:rPr>
          <w:sz w:val="21"/>
        </w:rPr>
        <w:t>乙方</w:t>
      </w:r>
      <w:r>
        <w:rPr>
          <w:sz w:val="21"/>
        </w:rPr>
        <w:t>名称一致。否则甲方有权顺延付款，乙方不得以此为由暂停实施本项目或要求顺延货物交付时间。</w:t>
      </w:r>
    </w:p>
    <w:p>
      <w:pPr>
        <w:jc w:val="both"/>
      </w:pPr>
      <w:r>
        <w:rPr>
          <w:sz w:val="21"/>
        </w:rPr>
        <w:t>（</w:t>
      </w:r>
      <w:r>
        <w:rPr>
          <w:sz w:val="21"/>
        </w:rPr>
        <w:t>五）</w:t>
      </w:r>
      <w:r>
        <w:rPr>
          <w:sz w:val="21"/>
        </w:rPr>
        <w:t>乙方应理解政府部门付款的相关程序，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w:t>
      </w:r>
    </w:p>
    <w:p>
      <w:pPr>
        <w:jc w:val="both"/>
      </w:pPr>
      <w:r>
        <w:rPr>
          <w:b/>
          <w:color w:val="000000"/>
          <w:sz w:val="21"/>
        </w:rPr>
        <w:t>十、</w:t>
      </w:r>
      <w:r>
        <w:rPr>
          <w:b/>
          <w:color w:val="000000"/>
          <w:sz w:val="21"/>
        </w:rPr>
        <w:t>知识产权和保密要求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pPr>
        <w:jc w:val="both"/>
      </w:pPr>
      <w:r>
        <w:rPr>
          <w:b/>
          <w:sz w:val="21"/>
        </w:rPr>
        <w:t>十一、</w:t>
      </w:r>
      <w:r>
        <w:rPr>
          <w:b/>
          <w:sz w:val="21"/>
        </w:rPr>
        <w:t>违约责任与赔偿损失</w:t>
      </w:r>
    </w:p>
    <w:p>
      <w:pPr>
        <w:jc w:val="both"/>
      </w:pPr>
      <w:r>
        <w:rPr>
          <w:sz w:val="21"/>
        </w:rPr>
        <w:t>（</w:t>
      </w:r>
      <w:r>
        <w:rPr>
          <w:sz w:val="21"/>
        </w:rPr>
        <w:t>一）乙方</w:t>
      </w:r>
      <w:r>
        <w:rPr>
          <w:sz w:val="21"/>
        </w:rPr>
        <w:t>交付的货物、工程</w:t>
      </w:r>
      <w:r>
        <w:rPr>
          <w:sz w:val="21"/>
        </w:rPr>
        <w:t>/提供的服务不符合招标文件、投标文件或本合同规定的，甲方有权拒收，并且乙方须向甲方</w:t>
      </w:r>
      <w:r>
        <w:rPr>
          <w:sz w:val="21"/>
        </w:rPr>
        <w:t>退还预付款</w:t>
      </w:r>
      <w:r>
        <w:rPr>
          <w:sz w:val="21"/>
        </w:rPr>
        <w:t>，</w:t>
      </w:r>
      <w:r>
        <w:rPr>
          <w:sz w:val="21"/>
        </w:rPr>
        <w:t>且</w:t>
      </w:r>
      <w:r>
        <w:rPr>
          <w:sz w:val="21"/>
        </w:rPr>
        <w:t>赔付中标金额的百分之三十的违约金。</w:t>
      </w:r>
    </w:p>
    <w:p>
      <w:pPr>
        <w:jc w:val="both"/>
      </w:pPr>
      <w:r>
        <w:rPr>
          <w:sz w:val="21"/>
        </w:rPr>
        <w:t>（</w:t>
      </w:r>
      <w:r>
        <w:rPr>
          <w:sz w:val="21"/>
        </w:rPr>
        <w:t>二）</w:t>
      </w:r>
      <w:r>
        <w:rPr>
          <w:sz w:val="21"/>
        </w:rPr>
        <w:t>乙方未能按本合同规定的交货时间交付货物的</w:t>
      </w:r>
      <w:r>
        <w:rPr>
          <w:sz w:val="21"/>
        </w:rPr>
        <w:t>/提供服务，从逾期之日起每日按本合同总价千分之五的数额向甲方支付违约金；逾期15天以上（含15天）的，甲方有权终止合同，要求乙方支付违约金，并且给甲方造成的经济损失由乙方承担赔偿责任。</w:t>
      </w:r>
    </w:p>
    <w:p>
      <w:pPr>
        <w:jc w:val="both"/>
      </w:pPr>
      <w:r>
        <w:rPr>
          <w:sz w:val="21"/>
        </w:rPr>
        <w:t>（</w:t>
      </w:r>
      <w:r>
        <w:rPr>
          <w:sz w:val="21"/>
        </w:rPr>
        <w:t>三）</w:t>
      </w:r>
      <w:r>
        <w:rPr>
          <w:sz w:val="21"/>
        </w:rPr>
        <w:t>甲方无正当理由拒收货物</w:t>
      </w:r>
      <w:r>
        <w:rPr>
          <w:sz w:val="21"/>
        </w:rPr>
        <w:t>/接受服务，到期拒付货物/服务款项的，甲方向乙方偿付本合同总价的百分之五的违约金。甲方逾期付款,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w:t>
      </w:r>
      <w:r>
        <w:rPr>
          <w:sz w:val="21"/>
        </w:rPr>
        <w:t>四）</w:t>
      </w:r>
      <w:r>
        <w:rPr>
          <w:sz w:val="21"/>
        </w:rPr>
        <w:t>其它</w:t>
      </w:r>
      <w:r>
        <w:rPr>
          <w:sz w:val="21"/>
        </w:rPr>
        <w:t>违约</w:t>
      </w:r>
      <w:r>
        <w:rPr>
          <w:sz w:val="21"/>
        </w:rPr>
        <w:t>责任按《中华人民共和国民法典</w:t>
      </w:r>
      <w:r>
        <w:rPr>
          <w:sz w:val="21"/>
        </w:rPr>
        <w:t>(合同编)》处理。</w:t>
      </w:r>
    </w:p>
    <w:p>
      <w:pPr>
        <w:jc w:val="both"/>
      </w:pPr>
      <w:r>
        <w:rPr>
          <w:b/>
          <w:sz w:val="21"/>
        </w:rPr>
        <w:t>十二、</w:t>
      </w:r>
      <w:r>
        <w:rPr>
          <w:b/>
          <w:sz w:val="21"/>
        </w:rPr>
        <w:t>争议的解决</w:t>
      </w:r>
    </w:p>
    <w:p>
      <w:pPr>
        <w:ind w:firstLine="539"/>
      </w:pPr>
      <w:r>
        <w:rPr>
          <w:sz w:val="21"/>
        </w:rPr>
        <w:t>合同执行过程中发生的任何争议，如双方不能通过友好协商解决，按相关法律法规处理。甲、乙双方一致同意向甲方所在地人民法院提起诉讼。</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w:t>
      </w:r>
      <w:r>
        <w:rPr>
          <w:sz w:val="21"/>
        </w:rPr>
        <w:t>一）</w:t>
      </w:r>
      <w:r>
        <w:rPr>
          <w:sz w:val="21"/>
        </w:rPr>
        <w:t>本合同所有附件、招标文件、投标文件、中标通知书均为合同的有效组成部分，与本合同具有同等法律效力。</w:t>
      </w:r>
    </w:p>
    <w:p>
      <w:pPr>
        <w:jc w:val="both"/>
      </w:pPr>
      <w:r>
        <w:rPr>
          <w:sz w:val="21"/>
        </w:rPr>
        <w:t>（</w:t>
      </w:r>
      <w:r>
        <w:rPr>
          <w:sz w:val="21"/>
        </w:rPr>
        <w:t>二）</w:t>
      </w:r>
      <w:r>
        <w:rPr>
          <w:sz w:val="21"/>
        </w:rPr>
        <w:t>在执行本合同的过程中，所有经双方签署确认的文件（包括会议纪要、补充协议、往来信函）即成为本合同的有效组成部分。</w:t>
      </w:r>
    </w:p>
    <w:p>
      <w:pPr>
        <w:jc w:val="both"/>
      </w:pPr>
      <w:r>
        <w:rPr>
          <w:sz w:val="21"/>
        </w:rPr>
        <w:t>（</w:t>
      </w:r>
      <w:r>
        <w:rPr>
          <w:sz w:val="21"/>
        </w:rPr>
        <w:t>三）</w:t>
      </w:r>
      <w:r>
        <w:rPr>
          <w:sz w:val="21"/>
        </w:rPr>
        <w:t>如一方地址、电话、传真号码有变更，应在变更当日内书面通知对方，否则，应承担相应责任。</w:t>
      </w:r>
    </w:p>
    <w:p>
      <w:pPr>
        <w:jc w:val="both"/>
      </w:pPr>
      <w:r>
        <w:rPr>
          <w:sz w:val="21"/>
        </w:rPr>
        <w:t>（</w:t>
      </w:r>
      <w:r>
        <w:rPr>
          <w:sz w:val="21"/>
        </w:rPr>
        <w:t>四）</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w:t>
      </w:r>
      <w:r>
        <w:rPr>
          <w:sz w:val="21"/>
        </w:rPr>
        <w:t>一）</w:t>
      </w:r>
      <w:r>
        <w:rPr>
          <w:sz w:val="21"/>
        </w:rPr>
        <w:t>所有经</w:t>
      </w:r>
      <w:r>
        <w:rPr>
          <w:sz w:val="21"/>
        </w:rPr>
        <w:t>双方</w:t>
      </w:r>
      <w:r>
        <w:rPr>
          <w:sz w:val="21"/>
        </w:rPr>
        <w:t>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w:t>
      </w:r>
      <w:r>
        <w:rPr>
          <w:sz w:val="21"/>
        </w:rPr>
        <w:t>二）</w:t>
      </w:r>
      <w:r>
        <w:rPr>
          <w:sz w:val="21"/>
        </w:rPr>
        <w:t>一方</w:t>
      </w:r>
      <w:r>
        <w:rPr>
          <w:sz w:val="21"/>
        </w:rPr>
        <w:t>按照</w:t>
      </w:r>
      <w:r>
        <w:rPr>
          <w:sz w:val="21"/>
        </w:rPr>
        <w:t>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w:t>
      </w:r>
      <w:r>
        <w:rPr>
          <w:sz w:val="21"/>
        </w:rPr>
        <w:t>三）</w:t>
      </w:r>
      <w:r>
        <w:rPr>
          <w:sz w:val="21"/>
        </w:rPr>
        <w:t>未经甲方书面同意，乙方不得擅自向第三方转让其应履行的合同项下的义务。</w:t>
      </w:r>
    </w:p>
    <w:p>
      <w:pPr>
        <w:jc w:val="both"/>
      </w:pPr>
      <w:r>
        <w:rPr>
          <w:sz w:val="21"/>
        </w:rPr>
        <w:t>（</w:t>
      </w:r>
      <w:r>
        <w:rPr>
          <w:sz w:val="21"/>
        </w:rPr>
        <w:t>四）</w:t>
      </w:r>
      <w:r>
        <w:rPr>
          <w:sz w:val="21"/>
        </w:rPr>
        <w:t>本</w:t>
      </w:r>
      <w:r>
        <w:rPr>
          <w:sz w:val="21"/>
        </w:rPr>
        <w:t>合同</w:t>
      </w:r>
      <w:r>
        <w:rPr>
          <w:sz w:val="21"/>
        </w:rPr>
        <w:t>一式伍份，甲方执贰份，乙方执贰份，采购代理机构执壹份。</w:t>
      </w:r>
    </w:p>
    <w:p>
      <w:pPr>
        <w:jc w:val="both"/>
      </w:pPr>
      <w:r>
        <w:rPr>
          <w:sz w:val="21"/>
        </w:rPr>
        <w:t>（</w:t>
      </w:r>
      <w:r>
        <w:rPr>
          <w:sz w:val="21"/>
        </w:rPr>
        <w:t>五）</w:t>
      </w:r>
      <w:r>
        <w:rPr>
          <w:sz w:val="21"/>
        </w:rPr>
        <w:t>本</w:t>
      </w:r>
      <w:r>
        <w:rPr>
          <w:sz w:val="21"/>
        </w:rPr>
        <w:t>合同</w:t>
      </w:r>
      <w:r>
        <w:rPr>
          <w:sz w:val="21"/>
        </w:rPr>
        <w:t>共计</w:t>
      </w:r>
      <w:r>
        <w:rPr>
          <w:sz w:val="21"/>
          <w:u w:val="single"/>
        </w:rPr>
        <w:t xml:space="preserve">   </w:t>
      </w:r>
      <w:r>
        <w:rPr>
          <w:sz w:val="21"/>
        </w:rPr>
        <w:t>页</w:t>
      </w:r>
      <w:r>
        <w:rPr>
          <w:sz w:val="21"/>
        </w:rPr>
        <w:t>A4纸张，缺页之合同为无效合同。</w:t>
      </w:r>
    </w:p>
    <w:p>
      <w:pPr>
        <w:jc w:val="both"/>
      </w:pPr>
      <w:r>
        <w:rPr>
          <w:sz w:val="21"/>
        </w:rPr>
        <w:t>（</w:t>
      </w:r>
      <w:r>
        <w:rPr>
          <w:sz w:val="21"/>
        </w:rPr>
        <w:t>六）</w:t>
      </w:r>
      <w:r>
        <w:rPr>
          <w:sz w:val="21"/>
        </w:rPr>
        <w:t>本</w:t>
      </w:r>
      <w:r>
        <w:rPr>
          <w:sz w:val="21"/>
        </w:rPr>
        <w:t>合同</w:t>
      </w:r>
      <w:r>
        <w:rPr>
          <w:sz w:val="21"/>
        </w:rPr>
        <w:t>签约履约地点：广东省佛山市。</w:t>
      </w:r>
    </w:p>
    <w:p>
      <w:pPr>
        <w:jc w:val="both"/>
      </w:pPr>
    </w:p>
    <w:p/>
    <w:p>
      <w:r>
        <w:rPr>
          <w:sz w:val="21"/>
        </w:rPr>
        <w:t>甲方（盖章）：</w:t>
      </w:r>
      <w:r>
        <w:rPr>
          <w:sz w:val="21"/>
        </w:rPr>
        <w:t>佛山市质量计量监督检测中心</w:t>
      </w:r>
      <w:r>
        <w:rPr>
          <w:sz w:val="21"/>
        </w:rPr>
        <w:t xml:space="preserve">        </w:t>
      </w:r>
      <w:r>
        <w:rPr>
          <w:sz w:val="21"/>
        </w:rPr>
        <w:t>乙方（盖章）：</w:t>
      </w:r>
      <w:r>
        <w:rPr>
          <w:sz w:val="21"/>
        </w:rPr>
        <w:t xml:space="preserve">    </w:t>
      </w:r>
    </w:p>
    <w:p>
      <w:r>
        <w:rPr>
          <w:sz w:val="21"/>
        </w:rPr>
        <w:t>单位</w:t>
      </w:r>
      <w:r>
        <w:rPr>
          <w:sz w:val="21"/>
        </w:rPr>
        <w:t>代表：</w:t>
      </w:r>
    </w:p>
    <w:p>
      <w:r>
        <w:rPr>
          <w:sz w:val="21"/>
        </w:rPr>
        <w:t xml:space="preserve">                                                </w:t>
      </w:r>
      <w:r>
        <w:rPr>
          <w:sz w:val="21"/>
        </w:rPr>
        <w:t>单位</w:t>
      </w:r>
      <w:r>
        <w:rPr>
          <w:sz w:val="21"/>
        </w:rPr>
        <w:t>代表：</w:t>
      </w:r>
    </w:p>
    <w:p>
      <w:r>
        <w:rPr>
          <w:sz w:val="21"/>
        </w:rPr>
        <w:t>分管领导：</w:t>
      </w:r>
    </w:p>
    <w:p>
      <w:pPr>
        <w:ind w:firstLine="420"/>
        <w:jc w:val="both"/>
      </w:pPr>
    </w:p>
    <w:p>
      <w:r>
        <w:rPr>
          <w:sz w:val="21"/>
        </w:rPr>
        <w:t>经办人</w:t>
      </w:r>
      <w:r>
        <w:rPr>
          <w:sz w:val="24"/>
        </w:rPr>
        <w:t>：</w:t>
      </w:r>
    </w:p>
    <w:p>
      <w:pPr>
        <w:ind w:firstLine="420"/>
        <w:jc w:val="both"/>
      </w:pPr>
    </w:p>
    <w:p>
      <w:pPr>
        <w:ind w:firstLine="420"/>
        <w:jc w:val="both"/>
      </w:pPr>
    </w:p>
    <w:p>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5040"/>
      </w:pPr>
      <w:r>
        <w:rPr>
          <w:sz w:val="21"/>
        </w:rPr>
        <w:t>开户名称：</w:t>
      </w:r>
      <w:r>
        <w:rPr>
          <w:sz w:val="21"/>
        </w:rPr>
        <w:t xml:space="preserve"> </w:t>
      </w:r>
    </w:p>
    <w:p>
      <w:pPr>
        <w:ind w:firstLine="5040"/>
      </w:pPr>
      <w:r>
        <w:rPr>
          <w:sz w:val="21"/>
        </w:rPr>
        <w:t>银行账号：</w:t>
      </w:r>
      <w:r>
        <w:rPr>
          <w:sz w:val="21"/>
        </w:rPr>
        <w:t xml:space="preserve"> </w:t>
      </w:r>
    </w:p>
    <w:p>
      <w:pPr>
        <w:ind w:firstLine="5040"/>
      </w:pPr>
      <w:r>
        <w:rPr>
          <w:sz w:val="21"/>
        </w:rPr>
        <w:t>开户行：</w:t>
      </w:r>
      <w:r>
        <w:rPr>
          <w:sz w:val="21"/>
        </w:rPr>
        <w:t xml:space="preserve">            </w:t>
      </w:r>
      <w:r>
        <w:rPr>
          <w:sz w:val="21"/>
        </w:rPr>
        <w:t>支行</w:t>
      </w:r>
    </w:p>
    <w:p>
      <w:pPr>
        <w:jc w:val="left"/>
      </w:pPr>
    </w:p>
    <w:p>
      <w:pPr>
        <w:jc w:val="left"/>
      </w:pPr>
    </w:p>
    <w:p>
      <w:pPr>
        <w:jc w:val="left"/>
      </w:pPr>
      <w:r>
        <w:rPr>
          <w:sz w:val="21"/>
        </w:rPr>
        <w:t>见证单位（盖章）：</w:t>
      </w:r>
      <w:r>
        <w:rPr>
          <w:sz w:val="21"/>
        </w:rPr>
        <w:t>佛山市信悦咨询有限公司</w:t>
      </w:r>
    </w:p>
    <w:p>
      <w:pPr>
        <w:jc w:val="left"/>
      </w:pPr>
      <w:r>
        <w:rPr>
          <w:sz w:val="21"/>
        </w:rPr>
        <w:t>经确认，与招标文件及投标文件内容相符。</w:t>
      </w:r>
    </w:p>
    <w:p>
      <w:pPr>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left"/>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440001-2022-30216</w:t>
      </w:r>
    </w:p>
    <w:p>
      <w:pPr>
        <w:jc w:val="center"/>
      </w:pPr>
      <w:r>
        <w:rPr>
          <w:b/>
          <w:sz w:val="24"/>
        </w:rPr>
        <w:t>采购项目编号：</w:t>
      </w:r>
      <w:r>
        <w:rPr>
          <w:b/>
          <w:sz w:val="24"/>
        </w:rPr>
        <w:t>440001-2022-30216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佛山市质量计量监督检测中心2022年度质量检测能力提升设备采购项目（一）(二次)</w:t>
      </w:r>
      <w:r>
        <w:rPr/>
        <w:t>项目的招标[采购项目编号为：</w:t>
      </w:r>
      <w:r>
        <w:rPr>
          <w:u w:val="single"/>
        </w:rPr>
        <w:t>440001-2022-30216</w:t>
      </w:r>
      <w:r>
        <w:rPr/>
        <w:t>]，我方愿参与投标。</w:t>
      </w:r>
    </w:p>
    <w:p>
      <w:pPr>
        <w:ind w:firstLine="480"/>
      </w:pPr>
      <w:r>
        <w:rPr/>
        <w:t>我方确认收到贵方提供的</w:t>
      </w:r>
      <w:r>
        <w:rPr>
          <w:u w:val="single"/>
        </w:rPr>
        <w:t>佛山市质量计量监督检测中心2022年度质量检测能力提升设备采购项目（一）(二次)</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佛山市质量计量监督检测中心2022年度质量检测能力提升设备采购项目（一）(二次)</w:t>
      </w:r>
      <w:r>
        <w:rPr/>
        <w:t>项目采购[采购项目编号为</w:t>
      </w:r>
      <w:r>
        <w:rPr/>
        <w:t>440001-2022-30216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佛山市质量计量监督检测中心2022年度质量检测能力提升设备采购项目（一）(二次)</w:t>
      </w:r>
      <w:r>
        <w:rPr/>
        <w:t>招标中获中标（采购项目编号：</w:t>
      </w:r>
      <w:r>
        <w:rPr/>
        <w:t>440001-2022-30216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佛山市质量计量监督检测中心2022年度质量检测能力提升设备采购项目（一）(二次)</w:t>
      </w:r>
      <w:r>
        <w:rPr/>
        <w:t>项目（采购项目编号：</w:t>
      </w:r>
      <w:r>
        <w:rPr/>
        <w:t>440001-2022-30216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