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440604-2022-04023</w:t>
      </w:r>
    </w:p>
    <w:p>
      <w:pPr>
        <w:jc w:val="center"/>
      </w:pPr>
      <w:r>
        <w:rPr>
          <w:b/>
          <w:sz w:val="24"/>
        </w:rPr>
        <w:t>采购项目编号：</w:t>
      </w:r>
      <w:r>
        <w:rPr>
          <w:b/>
          <w:sz w:val="24"/>
        </w:rPr>
        <w:t>XY0222061</w:t>
      </w:r>
    </w:p>
    <w:p>
      <w:pPr>
        <w:jc w:val="center"/>
      </w:pPr>
      <w:r>
        <w:rPr>
          <w:b/>
          <w:sz w:val="24"/>
        </w:rPr>
        <w:t>项目名称：</w:t>
      </w:r>
      <w:r>
        <w:rPr>
          <w:b/>
          <w:sz w:val="24"/>
        </w:rPr>
        <w:t>禅城区精准社会救助社工服务项目</w:t>
      </w:r>
    </w:p>
    <w:p>
      <w:pPr>
        <w:jc w:val="center"/>
      </w:pPr>
      <w:r>
        <w:rPr>
          <w:b/>
          <w:sz w:val="24"/>
        </w:rPr>
        <w:t>采购人：</w:t>
      </w:r>
      <w:r>
        <w:rPr>
          <w:b/>
          <w:sz w:val="24"/>
        </w:rPr>
        <w:t>佛山市禅城区民政局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佛山市禅城区民政局</w:t>
      </w:r>
      <w:r>
        <w:rPr/>
        <w:t>的委托，采用</w:t>
      </w:r>
      <w:r>
        <w:rPr/>
        <w:t>竞争性磋商</w:t>
      </w:r>
      <w:r>
        <w:rPr/>
        <w:t>方式组织采购</w:t>
      </w:r>
      <w:r>
        <w:rPr/>
        <w:t>禅城区精准社会救助社工服务项目</w:t>
      </w:r>
      <w:r>
        <w:rPr/>
        <w:t>。欢迎符合资格条件的供应商参加。</w:t>
      </w:r>
    </w:p>
    <w:p>
      <w:r>
        <w:rPr>
          <w:b/>
          <w:sz w:val="28"/>
        </w:rPr>
        <w:t>一.项目概述</w:t>
      </w:r>
    </w:p>
    <w:p>
      <w:r>
        <w:rPr>
          <w:b/>
          <w:sz w:val="24"/>
        </w:rPr>
        <w:t>1.名称与编号</w:t>
      </w:r>
    </w:p>
    <w:p>
      <w:pPr>
        <w:ind w:firstLine="480"/>
      </w:pPr>
      <w:r>
        <w:rPr/>
        <w:t>采购项目名称：</w:t>
      </w:r>
      <w:r>
        <w:rPr/>
        <w:t>禅城区精准社会救助社工服务项目</w:t>
      </w:r>
    </w:p>
    <w:p>
      <w:pPr>
        <w:ind w:firstLine="480"/>
      </w:pPr>
      <w:r>
        <w:rPr/>
        <w:t>采购计划编号：</w:t>
      </w:r>
      <w:r>
        <w:rPr/>
        <w:t>440604-2022-04023</w:t>
      </w:r>
    </w:p>
    <w:p>
      <w:pPr>
        <w:ind w:firstLine="480"/>
      </w:pPr>
      <w:r>
        <w:rPr/>
        <w:t>采购项目编号：</w:t>
      </w:r>
      <w:r>
        <w:rPr/>
        <w:t>XY0222061</w:t>
      </w:r>
    </w:p>
    <w:p>
      <w:pPr>
        <w:ind w:firstLine="480"/>
      </w:pPr>
      <w:r>
        <w:rPr/>
        <w:t>采购方式：</w:t>
      </w:r>
      <w:r>
        <w:rPr/>
        <w:t>竞争性磋商</w:t>
      </w:r>
    </w:p>
    <w:p>
      <w:pPr>
        <w:ind w:firstLine="480"/>
      </w:pPr>
      <w:r>
        <w:rPr/>
        <w:t>预算金额：</w:t>
      </w:r>
      <w:r>
        <w:rPr/>
        <w:t>1,300,000.00</w:t>
      </w:r>
      <w:r>
        <w:rPr/>
        <w:t>元</w:t>
      </w:r>
    </w:p>
    <w:p>
      <w:r>
        <w:rPr>
          <w:b/>
          <w:sz w:val="24"/>
        </w:rPr>
        <w:t>2.项目内容及需求情况（采购项目技术规格、参数及要求）</w:t>
      </w:r>
    </w:p>
    <w:p>
      <w:pPr>
        <w:ind w:firstLine="480"/>
      </w:pPr>
    </w:p>
    <w:p/>
    <w:p>
      <w:r>
        <w:rPr/>
        <w:t>采购包1(禅城区精准社会救助社工服务项目):</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禅城区精准社会救助社工服务项目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合同履行期限：自合同签订之日起2年，合同一年一签，第一年合同结束后采购人根据评估情况与下一年度的资金落实情况决定是否续签下一年合同。</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3）具有良好的商业信誉和健全的财务会计制度：提供2021年度财务状况报告或响应文件递交截止日前6个月内（不含截止日当月）任意1个月的的财务状况报告复印件，或基本开户行出具的资信证明复印件。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采购包1（禅城区精准社会救助社工服务项目）：</w:t>
      </w:r>
      <w:r>
        <w:rPr/>
        <w:t>采购包不属于专门面向中小企业采购项目</w:t>
      </w:r>
    </w:p>
    <w:p/>
    <w:p>
      <w:r>
        <w:rPr>
          <w:b/>
          <w:sz w:val="24"/>
        </w:rPr>
        <w:t>3.本项目特定的资格要求：</w:t>
      </w:r>
    </w:p>
    <w:p>
      <w:pPr>
        <w:ind w:firstLine="480"/>
      </w:pPr>
    </w:p>
    <w:p/>
    <w:p>
      <w:r>
        <w:rPr/>
        <w:t>采购包1（禅城区精准社会救助社工服务项目）：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佛山市公共资源交易网（http://ggzy.foshan.gov.cn/）、佛山市公共资源交易中心禅城分中心（http://ccggzy.chancheng.gov.cn/）及采购代理机构网站（www.fssxyzx.com）</w:t>
      </w:r>
    </w:p>
    <w:p>
      <w:r>
        <w:rPr>
          <w:b/>
          <w:sz w:val="28"/>
        </w:rPr>
        <w:t>六.本项目联系方式：</w:t>
      </w:r>
    </w:p>
    <w:p>
      <w:r>
        <w:rPr>
          <w:b/>
          <w:sz w:val="24"/>
        </w:rPr>
        <w:t>1.采购人信息</w:t>
      </w:r>
    </w:p>
    <w:p>
      <w:pPr>
        <w:ind w:firstLine="480"/>
      </w:pPr>
      <w:r>
        <w:rPr/>
        <w:t>名称：</w:t>
      </w:r>
      <w:r>
        <w:rPr/>
        <w:t>佛山市禅城区民政局</w:t>
      </w:r>
    </w:p>
    <w:p>
      <w:pPr>
        <w:ind w:firstLine="480"/>
      </w:pPr>
      <w:r>
        <w:rPr/>
        <w:t>地址：</w:t>
      </w:r>
      <w:r>
        <w:rPr/>
        <w:t>佛山市禅城区华远东路62号</w:t>
      </w:r>
    </w:p>
    <w:p>
      <w:pPr>
        <w:ind w:firstLine="480"/>
      </w:pPr>
      <w:r>
        <w:rPr/>
        <w:t>联系方式：</w:t>
      </w:r>
      <w:r>
        <w:rPr/>
        <w:t>0757-82345557</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廖小姐</w:t>
      </w:r>
    </w:p>
    <w:p>
      <w:pPr>
        <w:ind w:firstLine="480"/>
      </w:pPr>
      <w:r>
        <w:rPr/>
        <w:t>电话：</w:t>
      </w:r>
      <w:r>
        <w:rPr/>
        <w:t>0757-83279001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 xml:space="preserve"> </w:t>
      </w:r>
      <w:r>
        <w:rPr>
          <w:sz w:val="21"/>
        </w:rPr>
        <w:t>近年来，禅城区社会救助社工服务项目通过链接和整合政府、社区和社会资源，运用专业的社会工作方法和技巧，为特殊困难人员提供创新型社会救助和服务。民政部、财政部联合印发《关于切实保障好困难群众基本生活的通知》（以下简称《通知》），部署各地全面落实党中央、国务院关于扎实稳住经济、完善社会民生兜底保障措施有关要求，切实保障好城乡困难群众基本生活。在</w:t>
      </w:r>
      <w:r>
        <w:rPr>
          <w:sz w:val="21"/>
        </w:rPr>
        <w:t>“优化完善救助服务方式”方面，《通知》提出，鼓励、支持慈善组织、志愿者、专业社会工作者等社会力量积极参与社会救助，为困难群众提供物资捐赠、生活照料、心理疏导、送医护理等多样化服务。</w:t>
      </w:r>
      <w:r>
        <w:rPr>
          <w:sz w:val="21"/>
        </w:rPr>
        <w:t>佛山市禅城区民政局决定继续实施禅城区社会救助社工服务项目并进行服务升级，在原项目的基础上将项目改进为禅城区精准社会救助社工服务项目。</w:t>
      </w:r>
    </w:p>
    <w:p/>
    <w:p>
      <w:pPr>
        <w:ind w:firstLine="480"/>
      </w:pPr>
    </w:p>
    <w:p/>
    <w:p>
      <w:r>
        <w:rPr/>
        <w:t>采购包1（禅城区精准社会救助社工服务项目）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自合同签订之日起2年，合同一年一签，第一年合同结束后采购人根据评估情况与下一年度的资金落实情况决定是否续签下一年合同。</w:t>
            </w:r>
          </w:p>
        </w:tc>
      </w:tr>
      <w:tr>
        <w:tc>
          <w:tcPr>
            <w:tcW w:type="dxa" w:w="4153"/>
          </w:tcPr>
          <w:p>
            <w:r>
              <w:rPr/>
              <w:t>标的提供的地点</w:t>
            </w:r>
          </w:p>
        </w:tc>
        <w:tc>
          <w:tcPr>
            <w:tcW w:type="dxa" w:w="4153"/>
          </w:tcPr>
          <w:p/>
          <w:p>
            <w:r>
              <w:rPr/>
              <w:t>佛山市禅城区</w:t>
            </w:r>
          </w:p>
        </w:tc>
      </w:tr>
      <w:tr>
        <w:tc>
          <w:tcPr>
            <w:tcW w:type="dxa" w:w="4153"/>
          </w:tcPr>
          <w:p>
            <w:r>
              <w:rPr/>
              <w:t>付款方式</w:t>
            </w:r>
          </w:p>
        </w:tc>
        <w:tc>
          <w:tcPr>
            <w:tcW w:type="dxa" w:w="4153"/>
          </w:tcPr>
          <w:p/>
          <w:p/>
          <w:p>
            <w:r>
              <w:rPr/>
              <w:t>1期：支付比例100%,由采购人每年按下列程序付款： 1.合同生效后，采购人原则上在收到发票后10个工作日内，支付合同总额的30%； 2.合同周期内满半年，经中期评估，完成整改，并将服务周期间的资料（个案档案、救助对象数据库、服务运作手册等）电子文档整理提交后的5个工作日内，支付合同总额的30%； 3.合同周期内满8个月后5个工作日内，支付合同总额的30%； 4.合同周期结束，经末期评估，完成整改，并将服务周期间的资料（个案档案、救助对象数据库、服务运作手册、经验提炼总结等）电子文档完整提交后的5个工作日内支付合同总额的10%。 5.收款方、出具发票方、合同乙方均必须与成交供应商名称一致。 6.因采购人使用的是财政资金，均须由成交供应商提供发票后，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1期：1.符合禅城区社会工作服务相关政策要求； 2.符合《关于印发禅城区社会工作服务项目绩效评估实施办法的通知》（佛禅府办函〔2015〕65号）的评估要求； 3.上述各类标准与法规必须是有关官方机构最新发布的现行标准版本。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p/>
          <w:p>
            <w:r>
              <w:rPr/>
              <w:t>3.报价要求，报价必须包含但不限于人员工资福利、项目培训和督导经费、行政管理费用、全额含税发票、合同实施过程中的应预见和不可预见费用等。且人员工资福利占总费用不得低于80%；项目培训和督导经费不得低于5%；行政管理费用不得高于10%；全额含税发票、合同实施过程中的应预见和不可预见费用不得高于5%。</w:t>
            </w:r>
          </w:p>
          <w:p/>
          <w:p>
            <w:r>
              <w:rPr/>
              <w:t>4.其他说明，打“★”号条款为实质性条款，若有任何一条负偏离或不满足则导致投标（响应）无效 。</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禅城区精准社会救助社工服务项目</w:t>
            </w:r>
          </w:p>
        </w:tc>
        <w:tc>
          <w:tcPr>
            <w:tcW w:type="dxa" w:w="933"/>
          </w:tcPr>
          <w:p>
            <w:pPr>
              <w:jc w:val="left"/>
            </w:pPr>
            <w:r>
              <w:rPr/>
              <w:t>项</w:t>
            </w:r>
          </w:p>
        </w:tc>
        <w:tc>
          <w:tcPr>
            <w:tcW w:type="dxa" w:w="933"/>
          </w:tcPr>
          <w:p>
            <w:pPr>
              <w:jc w:val="right"/>
            </w:pPr>
            <w:r>
              <w:rPr/>
              <w:t>1.00</w:t>
            </w:r>
          </w:p>
        </w:tc>
        <w:tc>
          <w:tcPr>
            <w:tcW w:type="dxa" w:w="933"/>
          </w:tcPr>
          <w:p>
            <w:pPr>
              <w:jc w:val="right"/>
            </w:pPr>
            <w:r>
              <w:rPr/>
              <w:t>1,300,000.00</w:t>
            </w:r>
          </w:p>
        </w:tc>
        <w:tc>
          <w:tcPr>
            <w:tcW w:type="dxa" w:w="933"/>
          </w:tcPr>
          <w:p>
            <w:pPr>
              <w:jc w:val="right"/>
            </w:pPr>
            <w:r>
              <w:rPr/>
              <w:t>1,300,000.00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禅城区精准社会救助社工服务项目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项目服务内容</w:t>
            </w:r>
          </w:p>
          <w:p>
            <w:r>
              <w:rPr>
                <w:sz w:val="21"/>
              </w:rPr>
              <w:t>（</w:t>
            </w:r>
            <w:r>
              <w:rPr>
                <w:sz w:val="21"/>
              </w:rPr>
              <w:t>一</w:t>
            </w:r>
            <w:r>
              <w:rPr>
                <w:sz w:val="21"/>
              </w:rPr>
              <w:t>）</w:t>
            </w:r>
            <w:r>
              <w:rPr>
                <w:sz w:val="21"/>
              </w:rPr>
              <w:t>服务对象</w:t>
            </w:r>
          </w:p>
          <w:p>
            <w:pPr>
              <w:jc w:val="both"/>
            </w:pPr>
            <w:r>
              <w:rPr>
                <w:sz w:val="21"/>
              </w:rPr>
              <w:t>1.</w:t>
            </w:r>
            <w:r>
              <w:rPr>
                <w:sz w:val="21"/>
              </w:rPr>
              <w:t>基础服务对象：佛山市禅城区低保、临界低保、三无、五保等困难群众，约</w:t>
            </w:r>
            <w:r>
              <w:rPr>
                <w:sz w:val="21"/>
              </w:rPr>
              <w:t>1300人（约700户）。</w:t>
            </w:r>
          </w:p>
          <w:p>
            <w:pPr>
              <w:jc w:val="both"/>
            </w:pPr>
            <w:r>
              <w:rPr>
                <w:sz w:val="21"/>
              </w:rPr>
              <w:t>2.</w:t>
            </w:r>
            <w:r>
              <w:rPr>
                <w:sz w:val="21"/>
              </w:rPr>
              <w:t>重点服务对象：禅城区特困供养（分散供养约</w:t>
            </w:r>
            <w:r>
              <w:rPr>
                <w:sz w:val="21"/>
              </w:rPr>
              <w:t>110户）、临灾需转移民政服务对象（20人）、流浪乞讨人员120人次（按实际情况）等特殊人群。</w:t>
            </w:r>
          </w:p>
          <w:p>
            <w:r>
              <w:rPr>
                <w:sz w:val="21"/>
              </w:rPr>
              <w:t>（</w:t>
            </w:r>
            <w:r>
              <w:rPr>
                <w:sz w:val="21"/>
              </w:rPr>
              <w:t>二</w:t>
            </w:r>
            <w:r>
              <w:rPr>
                <w:sz w:val="21"/>
              </w:rPr>
              <w:t>）</w:t>
            </w:r>
            <w:r>
              <w:rPr>
                <w:sz w:val="21"/>
              </w:rPr>
              <w:t>服务内容</w:t>
            </w:r>
          </w:p>
          <w:p>
            <w:pPr>
              <w:jc w:val="both"/>
            </w:pPr>
            <w:r>
              <w:rPr>
                <w:sz w:val="21"/>
              </w:rPr>
              <w:t>1.</w:t>
            </w:r>
            <w:r>
              <w:rPr>
                <w:sz w:val="21"/>
              </w:rPr>
              <w:t>基础服务：对服务对象进行档案管理（每年至少进行一次现况更新），辅助监督，开展服务需求分析。</w:t>
            </w:r>
          </w:p>
          <w:p>
            <w:pPr>
              <w:jc w:val="both"/>
            </w:pPr>
            <w:r>
              <w:rPr>
                <w:sz w:val="21"/>
              </w:rPr>
              <w:t>2.</w:t>
            </w:r>
            <w:r>
              <w:rPr>
                <w:sz w:val="21"/>
              </w:rPr>
              <w:t>精准服务：（</w:t>
            </w:r>
            <w:r>
              <w:rPr>
                <w:sz w:val="21"/>
              </w:rPr>
              <w:t>1）分散供养的特困供养人员：开展入户探访服务，从服务对象的年龄、健康状况、自理能力、政策支持与社会支持五维度进行情况了解与需求分析，对服务对象的心理情绪状态进行动态掌控，针对不同的群体特征提供不同的专业服务，例如探访跟进服务、特殊群体建档、辅助监督、链接资源、个案服务介入等。（2）临灾需转移民政服务对象：动态掌握临灾需转移人员的环境情况，及时根据政府发布的特殊天气或者突发公共事件预警，为临灾需转移人员提供信息资讯传达，协助政府部门做好相关的安置服务。（3）流浪乞讨人员：定期外展，对流浪乞讨人员进行街面巡查劝导，政策宣传，告知引导，协助政府部门发放救助物资等。</w:t>
            </w:r>
          </w:p>
          <w:p>
            <w:pPr>
              <w:jc w:val="both"/>
            </w:pPr>
            <w:r>
              <w:rPr>
                <w:sz w:val="21"/>
              </w:rPr>
              <w:t>3.</w:t>
            </w:r>
            <w:r>
              <w:rPr>
                <w:sz w:val="21"/>
              </w:rPr>
              <w:t>其他服务：协助完成社会救助股指定的其他工作任务。</w:t>
            </w:r>
          </w:p>
          <w:p>
            <w:pPr>
              <w:jc w:val="both"/>
            </w:pPr>
            <w:r>
              <w:rPr>
                <w:b/>
                <w:sz w:val="21"/>
              </w:rPr>
              <w:t>二、</w:t>
            </w:r>
            <w:r>
              <w:rPr>
                <w:b/>
                <w:sz w:val="21"/>
              </w:rPr>
              <w:t>服务目标分解和细化（</w:t>
            </w:r>
            <w:r>
              <w:rPr>
                <w:b/>
                <w:sz w:val="21"/>
              </w:rPr>
              <w:t>每</w:t>
            </w:r>
            <w:r>
              <w:rPr>
                <w:b/>
                <w:sz w:val="21"/>
              </w:rPr>
              <w:t>年）</w:t>
            </w:r>
          </w:p>
          <w:tbl>
            <w:tblPr>
              <w:tblBorders>
                <w:top w:val="none" w:color="000000" w:sz="4"/>
                <w:left w:val="none" w:color="000000" w:sz="4"/>
                <w:bottom w:val="none" w:color="000000" w:sz="4"/>
                <w:right w:val="none" w:color="000000" w:sz="4"/>
                <w:insideH w:val="none"/>
                <w:insideV w:val="none"/>
              </w:tblBorders>
            </w:tblPr>
            <w:tblGrid>
              <w:gridCol w:w="1349"/>
              <w:gridCol w:w="1416"/>
              <w:gridCol w:w="970"/>
              <w:gridCol w:w="1862"/>
            </w:tblGrid>
            <w:tr>
              <w:tc>
                <w:tcPr>
                  <w:tcW w:type="dxa" w:w="1349"/>
                  <w:tcBorders>
                    <w:top w:val="single" w:color="000000" w:sz="8"/>
                    <w:left w:val="single" w:color="000000" w:sz="8"/>
                    <w:bottom w:val="single" w:color="000000" w:sz="8"/>
                    <w:right w:val="single" w:color="000000" w:sz="8"/>
                  </w:tcBorders>
                  <w:vAlign w:val="top"/>
                </w:tcPr>
                <w:p>
                  <w:pPr>
                    <w:jc w:val="center"/>
                  </w:pPr>
                  <w:r>
                    <w:rPr>
                      <w:b/>
                      <w:sz w:val="21"/>
                    </w:rPr>
                    <w:t>服务内容</w:t>
                  </w:r>
                </w:p>
              </w:tc>
              <w:tc>
                <w:tcPr>
                  <w:tcW w:type="dxa" w:w="1416"/>
                  <w:tcBorders>
                    <w:top w:val="single" w:color="000000" w:sz="8"/>
                    <w:left w:val="single" w:color="000000" w:sz="8"/>
                    <w:bottom w:val="single" w:color="000000" w:sz="8"/>
                    <w:right w:val="single" w:color="000000" w:sz="8"/>
                  </w:tcBorders>
                  <w:vAlign w:val="top"/>
                </w:tcPr>
                <w:p>
                  <w:pPr>
                    <w:jc w:val="center"/>
                  </w:pPr>
                  <w:r>
                    <w:rPr>
                      <w:b/>
                      <w:sz w:val="21"/>
                    </w:rPr>
                    <w:t>项目分类</w:t>
                  </w:r>
                </w:p>
              </w:tc>
              <w:tc>
                <w:tcPr>
                  <w:tcW w:type="dxa" w:w="970"/>
                  <w:tcBorders>
                    <w:top w:val="single" w:color="000000" w:sz="8"/>
                    <w:left w:val="single" w:color="000000" w:sz="8"/>
                    <w:bottom w:val="single" w:color="000000" w:sz="8"/>
                    <w:right w:val="single" w:color="000000" w:sz="8"/>
                  </w:tcBorders>
                  <w:vAlign w:val="top"/>
                </w:tcPr>
                <w:p>
                  <w:pPr>
                    <w:jc w:val="center"/>
                  </w:pPr>
                  <w:r>
                    <w:rPr>
                      <w:b/>
                      <w:sz w:val="21"/>
                    </w:rPr>
                    <w:t>评估指标</w:t>
                  </w:r>
                </w:p>
              </w:tc>
              <w:tc>
                <w:tcPr>
                  <w:tcW w:type="dxa" w:w="1862"/>
                  <w:tcBorders>
                    <w:top w:val="single" w:color="000000" w:sz="8"/>
                    <w:left w:val="single" w:color="000000" w:sz="8"/>
                    <w:bottom w:val="single" w:color="000000" w:sz="8"/>
                    <w:right w:val="single" w:color="000000" w:sz="8"/>
                  </w:tcBorders>
                  <w:vAlign w:val="top"/>
                </w:tcPr>
                <w:p>
                  <w:pPr>
                    <w:jc w:val="center"/>
                  </w:pPr>
                  <w:r>
                    <w:rPr>
                      <w:b/>
                      <w:sz w:val="21"/>
                    </w:rPr>
                    <w:t>量化标准</w:t>
                  </w:r>
                </w:p>
              </w:tc>
            </w:tr>
            <w:tr>
              <w:tc>
                <w:tcPr>
                  <w:tcW w:type="dxa" w:w="1349"/>
                  <w:vMerge w:val="restart"/>
                  <w:tcBorders>
                    <w:top w:val="none" w:color="000000" w:sz="4"/>
                    <w:left w:val="single" w:color="000000" w:sz="8"/>
                    <w:bottom w:val="single" w:color="000000" w:sz="8"/>
                    <w:right w:val="single" w:color="000000" w:sz="8"/>
                  </w:tcBorders>
                  <w:vAlign w:val="top"/>
                </w:tcPr>
                <w:p>
                  <w:pPr>
                    <w:jc w:val="center"/>
                  </w:pPr>
                  <w:r>
                    <w:rPr>
                      <w:sz w:val="21"/>
                    </w:rPr>
                    <w:t>精准化日常服务</w:t>
                  </w:r>
                </w:p>
              </w:tc>
              <w:tc>
                <w:tcPr>
                  <w:tcW w:type="dxa" w:w="1416"/>
                  <w:tcBorders>
                    <w:top w:val="none" w:color="000000" w:sz="4"/>
                    <w:left w:val="none" w:color="000000" w:sz="4"/>
                    <w:bottom w:val="single" w:color="000000" w:sz="8"/>
                    <w:right w:val="single" w:color="000000" w:sz="8"/>
                  </w:tcBorders>
                  <w:vAlign w:val="top"/>
                </w:tcPr>
                <w:p>
                  <w:pPr>
                    <w:jc w:val="center"/>
                  </w:pPr>
                  <w:r>
                    <w:rPr>
                      <w:sz w:val="21"/>
                    </w:rPr>
                    <w:t>精准摸查及建档</w:t>
                  </w:r>
                </w:p>
              </w:tc>
              <w:tc>
                <w:tcPr>
                  <w:tcW w:type="dxa" w:w="970"/>
                  <w:tcBorders>
                    <w:top w:val="none" w:color="000000" w:sz="4"/>
                    <w:left w:val="none" w:color="000000" w:sz="4"/>
                    <w:bottom w:val="single" w:color="000000" w:sz="8"/>
                    <w:right w:val="single" w:color="000000" w:sz="8"/>
                  </w:tcBorders>
                  <w:vAlign w:val="top"/>
                </w:tcPr>
                <w:p>
                  <w:pPr>
                    <w:jc w:val="center"/>
                  </w:pPr>
                  <w:r>
                    <w:rPr>
                      <w:sz w:val="21"/>
                    </w:rPr>
                    <w:t>建档数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100%</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重点人员巡查、劝导</w:t>
                  </w:r>
                </w:p>
              </w:tc>
              <w:tc>
                <w:tcPr>
                  <w:tcW w:type="dxa" w:w="970"/>
                  <w:tcBorders>
                    <w:top w:val="none" w:color="000000" w:sz="4"/>
                    <w:left w:val="none" w:color="000000" w:sz="4"/>
                    <w:bottom w:val="single" w:color="000000" w:sz="8"/>
                    <w:right w:val="single" w:color="000000" w:sz="8"/>
                  </w:tcBorders>
                  <w:vAlign w:val="top"/>
                </w:tcPr>
                <w:p>
                  <w:pPr>
                    <w:jc w:val="center"/>
                  </w:pPr>
                  <w:r>
                    <w:rPr>
                      <w:sz w:val="21"/>
                    </w:rPr>
                    <w:t>户数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流浪乞讨人员约</w:t>
                  </w:r>
                  <w:r>
                    <w:rPr>
                      <w:sz w:val="21"/>
                    </w:rPr>
                    <w:t>120人次/年</w:t>
                  </w:r>
                  <w:r>
                    <w:rPr>
                      <w:sz w:val="21"/>
                    </w:rPr>
                    <w:t>（按实际情况）</w:t>
                  </w:r>
                  <w:r>
                    <w:rPr>
                      <w:sz w:val="21"/>
                    </w:rPr>
                    <w:t>，临灾需转移人员</w:t>
                  </w:r>
                  <w:r>
                    <w:rPr>
                      <w:sz w:val="21"/>
                    </w:rPr>
                    <w:t>20人，每年约5次需转移</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重点人群恒常关顾</w:t>
                  </w:r>
                </w:p>
                <w:p>
                  <w:pPr>
                    <w:jc w:val="center"/>
                  </w:pPr>
                  <w:r>
                    <w:rPr>
                      <w:sz w:val="21"/>
                    </w:rPr>
                    <w:t>（入户</w:t>
                  </w:r>
                  <w:r>
                    <w:rPr>
                      <w:sz w:val="21"/>
                    </w:rPr>
                    <w:t>/电话探访）</w:t>
                  </w:r>
                </w:p>
              </w:tc>
              <w:tc>
                <w:tcPr>
                  <w:tcW w:type="dxa" w:w="970"/>
                  <w:tcBorders>
                    <w:top w:val="none" w:color="000000" w:sz="4"/>
                    <w:left w:val="none" w:color="000000" w:sz="4"/>
                    <w:bottom w:val="single" w:color="000000" w:sz="8"/>
                    <w:right w:val="single" w:color="000000" w:sz="8"/>
                  </w:tcBorders>
                  <w:vAlign w:val="top"/>
                </w:tcPr>
                <w:p>
                  <w:pPr>
                    <w:jc w:val="center"/>
                  </w:pPr>
                  <w:r>
                    <w:rPr>
                      <w:sz w:val="21"/>
                    </w:rPr>
                    <w:t>户数</w:t>
                  </w:r>
                  <w:r>
                    <w:rPr>
                      <w:sz w:val="21"/>
                    </w:rPr>
                    <w:t>×24</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关顾频率不低于每月</w:t>
                  </w:r>
                  <w:r>
                    <w:rPr>
                      <w:sz w:val="21"/>
                    </w:rPr>
                    <w:t>2次</w:t>
                  </w:r>
                </w:p>
                <w:p>
                  <w:pPr>
                    <w:jc w:val="center"/>
                  </w:pPr>
                  <w:r>
                    <w:rPr>
                      <w:sz w:val="21"/>
                    </w:rPr>
                    <w:t>（按</w:t>
                  </w:r>
                  <w:r>
                    <w:rPr>
                      <w:sz w:val="21"/>
                    </w:rPr>
                    <w:t>110户特困家庭测算，全年要2640次。）</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动态关顾</w:t>
                  </w:r>
                </w:p>
                <w:p>
                  <w:pPr>
                    <w:jc w:val="center"/>
                  </w:pPr>
                  <w:r>
                    <w:rPr>
                      <w:sz w:val="21"/>
                    </w:rPr>
                    <w:t>（入户探访）</w:t>
                  </w:r>
                </w:p>
              </w:tc>
              <w:tc>
                <w:tcPr>
                  <w:tcW w:type="dxa" w:w="970"/>
                  <w:tcBorders>
                    <w:top w:val="none" w:color="000000" w:sz="4"/>
                    <w:left w:val="none" w:color="000000" w:sz="4"/>
                    <w:bottom w:val="single" w:color="000000" w:sz="8"/>
                    <w:right w:val="single" w:color="000000" w:sz="8"/>
                  </w:tcBorders>
                  <w:vAlign w:val="top"/>
                </w:tcPr>
                <w:p>
                  <w:pPr>
                    <w:jc w:val="center"/>
                  </w:pPr>
                  <w:r>
                    <w:rPr>
                      <w:sz w:val="21"/>
                    </w:rPr>
                    <w:t>户数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每户每年不少于</w:t>
                  </w:r>
                  <w:r>
                    <w:rPr>
                      <w:sz w:val="21"/>
                    </w:rPr>
                    <w:t>1次</w:t>
                  </w:r>
                </w:p>
                <w:p>
                  <w:pPr>
                    <w:jc w:val="center"/>
                  </w:pPr>
                  <w:r>
                    <w:rPr>
                      <w:sz w:val="21"/>
                    </w:rPr>
                    <w:t>（按</w:t>
                  </w:r>
                  <w:r>
                    <w:rPr>
                      <w:sz w:val="21"/>
                    </w:rPr>
                    <w:t>700</w:t>
                  </w:r>
                  <w:r>
                    <w:rPr>
                      <w:sz w:val="21"/>
                    </w:rPr>
                    <w:t>户测算，全年要</w:t>
                  </w:r>
                  <w:r>
                    <w:rPr>
                      <w:sz w:val="21"/>
                    </w:rPr>
                    <w:t>700次。）</w:t>
                  </w:r>
                </w:p>
              </w:tc>
            </w:tr>
            <w:tr>
              <w:tc>
                <w:tcPr>
                  <w:tcW w:type="dxa" w:w="1349"/>
                  <w:vMerge w:val="restart"/>
                  <w:tcBorders>
                    <w:top w:val="none" w:color="000000" w:sz="4"/>
                    <w:left w:val="single" w:color="000000" w:sz="8"/>
                    <w:bottom w:val="single" w:color="000000" w:sz="8"/>
                    <w:right w:val="single" w:color="000000" w:sz="8"/>
                  </w:tcBorders>
                  <w:vAlign w:val="top"/>
                </w:tcPr>
                <w:p>
                  <w:pPr>
                    <w:jc w:val="center"/>
                  </w:pPr>
                  <w:r>
                    <w:rPr>
                      <w:sz w:val="21"/>
                    </w:rPr>
                    <w:t>个案介入</w:t>
                  </w:r>
                </w:p>
              </w:tc>
              <w:tc>
                <w:tcPr>
                  <w:tcW w:type="dxa" w:w="1416"/>
                  <w:vMerge w:val="restart"/>
                  <w:tcBorders>
                    <w:top w:val="none" w:color="000000" w:sz="4"/>
                    <w:left w:val="single" w:color="000000" w:sz="8"/>
                    <w:bottom w:val="single" w:color="000000" w:sz="8"/>
                    <w:right w:val="single" w:color="000000" w:sz="8"/>
                  </w:tcBorders>
                  <w:vAlign w:val="top"/>
                </w:tcPr>
                <w:p>
                  <w:pPr>
                    <w:jc w:val="center"/>
                  </w:pPr>
                  <w:r>
                    <w:rPr>
                      <w:sz w:val="21"/>
                    </w:rPr>
                    <w:t>个案管理</w:t>
                  </w:r>
                </w:p>
                <w:p>
                  <w:pPr>
                    <w:jc w:val="center"/>
                  </w:pPr>
                  <w:r>
                    <w:rPr>
                      <w:sz w:val="21"/>
                    </w:rPr>
                    <w:t>（重点人群）</w:t>
                  </w:r>
                </w:p>
                <w:p>
                  <w:pPr>
                    <w:jc w:val="center"/>
                  </w:pPr>
                </w:p>
              </w:tc>
              <w:tc>
                <w:tcPr>
                  <w:tcW w:type="dxa" w:w="970"/>
                  <w:tcBorders>
                    <w:top w:val="none" w:color="000000" w:sz="4"/>
                    <w:left w:val="single" w:color="000000" w:sz="8"/>
                    <w:bottom w:val="single" w:color="000000" w:sz="8"/>
                    <w:right w:val="single" w:color="000000" w:sz="8"/>
                  </w:tcBorders>
                  <w:vAlign w:val="top"/>
                </w:tcPr>
                <w:p>
                  <w:pPr>
                    <w:jc w:val="center"/>
                  </w:pPr>
                  <w:r>
                    <w:rPr>
                      <w:sz w:val="21"/>
                    </w:rPr>
                    <w:t>个案辅导数</w:t>
                  </w:r>
                </w:p>
              </w:tc>
              <w:tc>
                <w:tcPr>
                  <w:tcW w:type="dxa" w:w="1862"/>
                  <w:tcBorders>
                    <w:top w:val="none" w:color="000000" w:sz="4"/>
                    <w:left w:val="single" w:color="000000" w:sz="8"/>
                    <w:bottom w:val="single" w:color="000000" w:sz="8"/>
                    <w:right w:val="single" w:color="000000" w:sz="8"/>
                  </w:tcBorders>
                  <w:vAlign w:val="top"/>
                </w:tcPr>
                <w:p>
                  <w:pPr>
                    <w:jc w:val="center"/>
                  </w:pPr>
                  <w:r>
                    <w:rPr>
                      <w:sz w:val="21"/>
                    </w:rPr>
                    <w:t>20</w:t>
                  </w:r>
                </w:p>
              </w:tc>
            </w:tr>
            <w:tr>
              <w:tc>
                <w:tcPr>
                  <w:tcW w:type="dxa" w:w="1349"/>
                  <w:vMerge/>
                  <w:tcBorders>
                    <w:top w:val="none" w:color="000000" w:sz="4"/>
                    <w:left w:val="single" w:color="000000" w:sz="8"/>
                    <w:bottom w:val="single" w:color="000000" w:sz="8"/>
                    <w:right w:val="single" w:color="000000" w:sz="8"/>
                  </w:tcBorders>
                </w:tcPr>
                <w:p/>
              </w:tc>
              <w:tc>
                <w:tcPr>
                  <w:tcW w:type="dxa" w:w="1416"/>
                  <w:vMerge/>
                  <w:tcBorders>
                    <w:top w:val="none" w:color="000000" w:sz="4"/>
                    <w:left w:val="single" w:color="000000" w:sz="8"/>
                    <w:bottom w:val="single" w:color="000000" w:sz="8"/>
                    <w:right w:val="single" w:color="000000" w:sz="8"/>
                  </w:tcBorders>
                </w:tcPr>
                <w:p/>
              </w:tc>
              <w:tc>
                <w:tcPr>
                  <w:tcW w:type="dxa" w:w="970"/>
                  <w:tcBorders>
                    <w:top w:val="none" w:color="000000" w:sz="4"/>
                    <w:left w:val="single" w:color="000000" w:sz="8"/>
                    <w:bottom w:val="single" w:color="000000" w:sz="8"/>
                    <w:right w:val="single" w:color="000000" w:sz="8"/>
                  </w:tcBorders>
                  <w:vAlign w:val="top"/>
                </w:tcPr>
                <w:p>
                  <w:pPr>
                    <w:jc w:val="center"/>
                  </w:pPr>
                  <w:r>
                    <w:rPr>
                      <w:sz w:val="21"/>
                    </w:rPr>
                    <w:t>个案建档率</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100%</w:t>
                  </w:r>
                </w:p>
              </w:tc>
            </w:tr>
            <w:tr>
              <w:tc>
                <w:tcPr>
                  <w:tcW w:type="dxa" w:w="1349"/>
                  <w:vMerge/>
                  <w:tcBorders>
                    <w:top w:val="none" w:color="000000" w:sz="4"/>
                    <w:left w:val="single" w:color="000000" w:sz="8"/>
                    <w:bottom w:val="single" w:color="000000" w:sz="8"/>
                    <w:right w:val="single" w:color="000000" w:sz="8"/>
                  </w:tcBorders>
                </w:tcPr>
                <w:p/>
              </w:tc>
              <w:tc>
                <w:tcPr>
                  <w:tcW w:type="dxa" w:w="1416"/>
                  <w:vMerge w:val="restart"/>
                  <w:tcBorders>
                    <w:top w:val="none" w:color="000000" w:sz="4"/>
                    <w:left w:val="single" w:color="000000" w:sz="8"/>
                    <w:bottom w:val="single" w:color="000000" w:sz="8"/>
                    <w:right w:val="single" w:color="000000" w:sz="8"/>
                  </w:tcBorders>
                  <w:vAlign w:val="top"/>
                </w:tcPr>
                <w:p>
                  <w:pPr>
                    <w:jc w:val="center"/>
                  </w:pPr>
                  <w:r>
                    <w:rPr>
                      <w:sz w:val="21"/>
                    </w:rPr>
                    <w:t>危机个案</w:t>
                  </w:r>
                </w:p>
                <w:p>
                  <w:pPr>
                    <w:jc w:val="center"/>
                  </w:pPr>
                  <w:r>
                    <w:rPr>
                      <w:sz w:val="21"/>
                    </w:rPr>
                    <w:t>（偶发性个案）</w:t>
                  </w:r>
                </w:p>
              </w:tc>
              <w:tc>
                <w:tcPr>
                  <w:tcW w:type="dxa" w:w="970"/>
                  <w:tcBorders>
                    <w:top w:val="none" w:color="000000" w:sz="4"/>
                    <w:left w:val="none" w:color="000000" w:sz="4"/>
                    <w:bottom w:val="single" w:color="000000" w:sz="8"/>
                    <w:right w:val="single" w:color="000000" w:sz="8"/>
                  </w:tcBorders>
                  <w:vAlign w:val="top"/>
                </w:tcPr>
                <w:p>
                  <w:pPr>
                    <w:jc w:val="center"/>
                  </w:pPr>
                  <w:r>
                    <w:rPr>
                      <w:sz w:val="21"/>
                    </w:rPr>
                    <w:t>个案辅导数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以实际情况为准</w:t>
                  </w:r>
                </w:p>
              </w:tc>
            </w:tr>
            <w:tr>
              <w:tc>
                <w:tcPr>
                  <w:tcW w:type="dxa" w:w="1349"/>
                  <w:vMerge/>
                  <w:tcBorders>
                    <w:top w:val="none" w:color="000000" w:sz="4"/>
                    <w:left w:val="single" w:color="000000" w:sz="8"/>
                    <w:bottom w:val="single" w:color="000000" w:sz="8"/>
                    <w:right w:val="single" w:color="000000" w:sz="8"/>
                  </w:tcBorders>
                </w:tcPr>
                <w:p/>
              </w:tc>
              <w:tc>
                <w:tcPr>
                  <w:tcW w:type="dxa" w:w="1416"/>
                  <w:vMerge/>
                  <w:tcBorders>
                    <w:top w:val="none" w:color="000000" w:sz="4"/>
                    <w:left w:val="single" w:color="000000" w:sz="8"/>
                    <w:bottom w:val="single" w:color="000000" w:sz="8"/>
                    <w:right w:val="single" w:color="000000" w:sz="8"/>
                  </w:tcBorders>
                </w:tcPr>
                <w:p/>
              </w:tc>
              <w:tc>
                <w:tcPr>
                  <w:tcW w:type="dxa" w:w="970"/>
                  <w:tcBorders>
                    <w:top w:val="none" w:color="000000" w:sz="4"/>
                    <w:left w:val="none" w:color="000000" w:sz="4"/>
                    <w:bottom w:val="single" w:color="000000" w:sz="8"/>
                    <w:right w:val="single" w:color="000000" w:sz="8"/>
                  </w:tcBorders>
                  <w:vAlign w:val="top"/>
                </w:tcPr>
                <w:p>
                  <w:pPr>
                    <w:jc w:val="center"/>
                  </w:pPr>
                  <w:r>
                    <w:rPr>
                      <w:sz w:val="21"/>
                    </w:rPr>
                    <w:t>个案介入率</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100%</w:t>
                  </w:r>
                </w:p>
              </w:tc>
            </w:tr>
            <w:tr>
              <w:tc>
                <w:tcPr>
                  <w:tcW w:type="dxa" w:w="1349"/>
                  <w:vMerge/>
                  <w:tcBorders>
                    <w:top w:val="none" w:color="000000" w:sz="4"/>
                    <w:left w:val="single" w:color="000000" w:sz="8"/>
                    <w:bottom w:val="single" w:color="000000" w:sz="8"/>
                    <w:right w:val="single" w:color="000000" w:sz="8"/>
                  </w:tcBorders>
                </w:tcPr>
                <w:p/>
              </w:tc>
              <w:tc>
                <w:tcPr>
                  <w:tcW w:type="dxa" w:w="1416"/>
                  <w:vMerge/>
                  <w:tcBorders>
                    <w:top w:val="none" w:color="000000" w:sz="4"/>
                    <w:left w:val="single" w:color="000000" w:sz="8"/>
                    <w:bottom w:val="single" w:color="000000" w:sz="8"/>
                    <w:right w:val="single" w:color="000000" w:sz="8"/>
                  </w:tcBorders>
                </w:tcPr>
                <w:p/>
              </w:tc>
              <w:tc>
                <w:tcPr>
                  <w:tcW w:type="dxa" w:w="970"/>
                  <w:tcBorders>
                    <w:top w:val="none" w:color="000000" w:sz="4"/>
                    <w:left w:val="none" w:color="000000" w:sz="4"/>
                    <w:bottom w:val="single" w:color="000000" w:sz="8"/>
                    <w:right w:val="single" w:color="000000" w:sz="8"/>
                  </w:tcBorders>
                  <w:vAlign w:val="top"/>
                </w:tcPr>
                <w:p>
                  <w:pPr>
                    <w:jc w:val="center"/>
                  </w:pPr>
                  <w:r>
                    <w:rPr>
                      <w:sz w:val="21"/>
                    </w:rPr>
                    <w:t>年度结案数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不低于</w:t>
                  </w:r>
                  <w:r>
                    <w:rPr>
                      <w:sz w:val="21"/>
                    </w:rPr>
                    <w:t>80%</w:t>
                  </w:r>
                </w:p>
              </w:tc>
            </w:tr>
            <w:tr>
              <w:tc>
                <w:tcPr>
                  <w:tcW w:type="dxa" w:w="1349"/>
                  <w:vMerge w:val="restart"/>
                  <w:tcBorders>
                    <w:top w:val="none" w:color="000000" w:sz="4"/>
                    <w:left w:val="single" w:color="000000" w:sz="8"/>
                    <w:bottom w:val="single" w:color="000000" w:sz="8"/>
                    <w:right w:val="single" w:color="000000" w:sz="8"/>
                  </w:tcBorders>
                  <w:vAlign w:val="top"/>
                </w:tcPr>
                <w:p>
                  <w:pPr>
                    <w:jc w:val="center"/>
                  </w:pPr>
                  <w:r>
                    <w:rPr>
                      <w:sz w:val="21"/>
                    </w:rPr>
                    <w:t>经验提炼</w:t>
                  </w:r>
                </w:p>
              </w:tc>
              <w:tc>
                <w:tcPr>
                  <w:tcW w:type="dxa" w:w="1416"/>
                  <w:tcBorders>
                    <w:top w:val="none" w:color="000000" w:sz="4"/>
                    <w:left w:val="none" w:color="000000" w:sz="4"/>
                    <w:bottom w:val="single" w:color="000000" w:sz="8"/>
                    <w:right w:val="single" w:color="000000" w:sz="8"/>
                  </w:tcBorders>
                  <w:vAlign w:val="top"/>
                </w:tcPr>
                <w:p>
                  <w:pPr>
                    <w:jc w:val="center"/>
                  </w:pPr>
                  <w:r>
                    <w:rPr>
                      <w:sz w:val="21"/>
                    </w:rPr>
                    <w:t>品牌服务内容</w:t>
                  </w:r>
                </w:p>
              </w:tc>
              <w:tc>
                <w:tcPr>
                  <w:tcW w:type="dxa" w:w="970"/>
                  <w:tcBorders>
                    <w:top w:val="none" w:color="000000" w:sz="4"/>
                    <w:left w:val="none" w:color="000000" w:sz="4"/>
                    <w:bottom w:val="single" w:color="000000" w:sz="8"/>
                    <w:right w:val="single" w:color="000000" w:sz="8"/>
                  </w:tcBorders>
                  <w:vAlign w:val="top"/>
                </w:tcPr>
                <w:p>
                  <w:pPr>
                    <w:jc w:val="center"/>
                  </w:pPr>
                  <w:r>
                    <w:rPr>
                      <w:sz w:val="21"/>
                    </w:rPr>
                    <w:t>个数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服务运作手册</w:t>
                  </w:r>
                </w:p>
              </w:tc>
              <w:tc>
                <w:tcPr>
                  <w:tcW w:type="dxa" w:w="970"/>
                  <w:tcBorders>
                    <w:top w:val="none" w:color="000000" w:sz="4"/>
                    <w:left w:val="none" w:color="000000" w:sz="4"/>
                    <w:bottom w:val="single" w:color="000000" w:sz="8"/>
                    <w:right w:val="single" w:color="000000" w:sz="8"/>
                  </w:tcBorders>
                  <w:vAlign w:val="top"/>
                </w:tcPr>
                <w:p>
                  <w:pPr>
                    <w:jc w:val="center"/>
                  </w:pPr>
                  <w:r>
                    <w:rPr>
                      <w:sz w:val="21"/>
                    </w:rPr>
                    <w:t>份数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典型案例</w:t>
                  </w:r>
                </w:p>
              </w:tc>
              <w:tc>
                <w:tcPr>
                  <w:tcW w:type="dxa" w:w="970"/>
                  <w:tcBorders>
                    <w:top w:val="none" w:color="000000" w:sz="4"/>
                    <w:left w:val="none" w:color="000000" w:sz="4"/>
                    <w:bottom w:val="single" w:color="000000" w:sz="8"/>
                    <w:right w:val="single" w:color="000000" w:sz="8"/>
                  </w:tcBorders>
                  <w:vAlign w:val="top"/>
                </w:tcPr>
                <w:p>
                  <w:pPr>
                    <w:jc w:val="center"/>
                  </w:pPr>
                  <w:r>
                    <w:rPr>
                      <w:sz w:val="21"/>
                    </w:rPr>
                    <w:t>个数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5</w:t>
                  </w:r>
                </w:p>
              </w:tc>
            </w:tr>
            <w:tr>
              <w:tc>
                <w:tcPr>
                  <w:tcW w:type="dxa" w:w="1349"/>
                  <w:vMerge w:val="restart"/>
                  <w:tcBorders>
                    <w:top w:val="none" w:color="000000" w:sz="4"/>
                    <w:left w:val="single" w:color="000000" w:sz="8"/>
                    <w:bottom w:val="single" w:color="000000" w:sz="8"/>
                    <w:right w:val="single" w:color="000000" w:sz="8"/>
                  </w:tcBorders>
                  <w:vAlign w:val="top"/>
                </w:tcPr>
                <w:p>
                  <w:pPr>
                    <w:jc w:val="center"/>
                  </w:pPr>
                  <w:r>
                    <w:rPr>
                      <w:sz w:val="21"/>
                    </w:rPr>
                    <w:t>专业支持</w:t>
                  </w:r>
                </w:p>
              </w:tc>
              <w:tc>
                <w:tcPr>
                  <w:tcW w:type="dxa" w:w="1416"/>
                  <w:tcBorders>
                    <w:top w:val="none" w:color="000000" w:sz="4"/>
                    <w:left w:val="none" w:color="000000" w:sz="4"/>
                    <w:bottom w:val="single" w:color="000000" w:sz="8"/>
                    <w:right w:val="single" w:color="000000" w:sz="8"/>
                  </w:tcBorders>
                  <w:vAlign w:val="top"/>
                </w:tcPr>
                <w:p>
                  <w:pPr>
                    <w:jc w:val="center"/>
                  </w:pPr>
                  <w:r>
                    <w:rPr>
                      <w:sz w:val="21"/>
                    </w:rPr>
                    <w:t>督导支持</w:t>
                  </w:r>
                </w:p>
              </w:tc>
              <w:tc>
                <w:tcPr>
                  <w:tcW w:type="dxa" w:w="970"/>
                  <w:tcBorders>
                    <w:top w:val="none" w:color="000000" w:sz="4"/>
                    <w:left w:val="none" w:color="000000" w:sz="4"/>
                    <w:bottom w:val="single" w:color="000000" w:sz="8"/>
                    <w:right w:val="single" w:color="000000" w:sz="8"/>
                  </w:tcBorders>
                  <w:vAlign w:val="top"/>
                </w:tcPr>
                <w:p>
                  <w:pPr>
                    <w:jc w:val="center"/>
                  </w:pPr>
                  <w:r>
                    <w:rPr>
                      <w:sz w:val="21"/>
                    </w:rPr>
                    <w:t>次数，每次不低于</w:t>
                  </w:r>
                  <w:r>
                    <w:rPr>
                      <w:sz w:val="21"/>
                    </w:rPr>
                    <w:t>6小时</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12</w:t>
                  </w:r>
                </w:p>
              </w:tc>
            </w:tr>
            <w:tr>
              <w:tc>
                <w:tcPr>
                  <w:tcW w:type="dxa" w:w="1349"/>
                  <w:vMerge/>
                  <w:tcBorders>
                    <w:top w:val="none" w:color="000000" w:sz="4"/>
                    <w:left w:val="single" w:color="000000" w:sz="8"/>
                    <w:bottom w:val="single" w:color="000000" w:sz="8"/>
                    <w:right w:val="single" w:color="000000" w:sz="8"/>
                  </w:tcBorders>
                </w:tcPr>
                <w:p/>
              </w:tc>
              <w:tc>
                <w:tcPr>
                  <w:tcW w:type="dxa" w:w="1416"/>
                  <w:tcBorders>
                    <w:top w:val="none" w:color="000000" w:sz="4"/>
                    <w:left w:val="none" w:color="000000" w:sz="4"/>
                    <w:bottom w:val="single" w:color="000000" w:sz="8"/>
                    <w:right w:val="single" w:color="000000" w:sz="8"/>
                  </w:tcBorders>
                  <w:vAlign w:val="top"/>
                </w:tcPr>
                <w:p>
                  <w:pPr>
                    <w:jc w:val="center"/>
                  </w:pPr>
                  <w:r>
                    <w:rPr>
                      <w:sz w:val="21"/>
                    </w:rPr>
                    <w:t>专题培训</w:t>
                  </w:r>
                </w:p>
              </w:tc>
              <w:tc>
                <w:tcPr>
                  <w:tcW w:type="dxa" w:w="970"/>
                  <w:tcBorders>
                    <w:top w:val="none" w:color="000000" w:sz="4"/>
                    <w:left w:val="none" w:color="000000" w:sz="4"/>
                    <w:bottom w:val="single" w:color="000000" w:sz="8"/>
                    <w:right w:val="single" w:color="000000" w:sz="8"/>
                  </w:tcBorders>
                  <w:vAlign w:val="top"/>
                </w:tcPr>
                <w:p>
                  <w:pPr>
                    <w:jc w:val="center"/>
                  </w:pPr>
                  <w:r>
                    <w:rPr>
                      <w:sz w:val="21"/>
                    </w:rPr>
                    <w:t>次数</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2</w:t>
                  </w:r>
                </w:p>
              </w:tc>
            </w:tr>
            <w:tr>
              <w:tc>
                <w:tcPr>
                  <w:tcW w:type="dxa" w:w="1349"/>
                  <w:tcBorders>
                    <w:top w:val="none" w:color="000000" w:sz="4"/>
                    <w:left w:val="single" w:color="000000" w:sz="8"/>
                    <w:bottom w:val="single" w:color="000000" w:sz="8"/>
                    <w:right w:val="single" w:color="000000" w:sz="8"/>
                  </w:tcBorders>
                  <w:vAlign w:val="top"/>
                </w:tcPr>
                <w:p>
                  <w:pPr>
                    <w:jc w:val="center"/>
                  </w:pPr>
                  <w:r>
                    <w:rPr>
                      <w:sz w:val="21"/>
                    </w:rPr>
                    <w:t>服务对象满意度调查</w:t>
                  </w:r>
                </w:p>
              </w:tc>
              <w:tc>
                <w:tcPr>
                  <w:tcW w:type="dxa" w:w="1416"/>
                  <w:tcBorders>
                    <w:top w:val="none" w:color="000000" w:sz="4"/>
                    <w:left w:val="none" w:color="000000" w:sz="4"/>
                    <w:bottom w:val="single" w:color="000000" w:sz="8"/>
                    <w:right w:val="single" w:color="000000" w:sz="8"/>
                  </w:tcBorders>
                  <w:vAlign w:val="top"/>
                </w:tcPr>
                <w:p>
                  <w:pPr>
                    <w:jc w:val="center"/>
                  </w:pPr>
                  <w:r>
                    <w:rPr>
                      <w:sz w:val="21"/>
                    </w:rPr>
                    <w:t>调查问卷</w:t>
                  </w:r>
                </w:p>
              </w:tc>
              <w:tc>
                <w:tcPr>
                  <w:tcW w:type="dxa" w:w="970"/>
                  <w:tcBorders>
                    <w:top w:val="none" w:color="000000" w:sz="4"/>
                    <w:left w:val="none" w:color="000000" w:sz="4"/>
                    <w:bottom w:val="single" w:color="000000" w:sz="8"/>
                    <w:right w:val="single" w:color="000000" w:sz="8"/>
                  </w:tcBorders>
                  <w:vAlign w:val="top"/>
                </w:tcPr>
                <w:p>
                  <w:pPr>
                    <w:jc w:val="center"/>
                  </w:pPr>
                  <w:r>
                    <w:rPr>
                      <w:sz w:val="21"/>
                    </w:rPr>
                    <w:t>1次</w:t>
                  </w:r>
                </w:p>
              </w:tc>
              <w:tc>
                <w:tcPr>
                  <w:tcW w:type="dxa" w:w="1862"/>
                  <w:tcBorders>
                    <w:top w:val="none" w:color="000000" w:sz="4"/>
                    <w:left w:val="none" w:color="000000" w:sz="4"/>
                    <w:bottom w:val="single" w:color="000000" w:sz="8"/>
                    <w:right w:val="single" w:color="000000" w:sz="8"/>
                  </w:tcBorders>
                  <w:vAlign w:val="top"/>
                </w:tcPr>
                <w:p>
                  <w:pPr>
                    <w:jc w:val="center"/>
                  </w:pPr>
                  <w:r>
                    <w:rPr>
                      <w:sz w:val="21"/>
                    </w:rPr>
                    <w:t>抽取服务对象的</w:t>
                  </w:r>
                  <w:r>
                    <w:rPr>
                      <w:sz w:val="21"/>
                    </w:rPr>
                    <w:t>10%进行问卷</w:t>
                  </w:r>
                </w:p>
              </w:tc>
            </w:tr>
          </w:tbl>
          <w:p>
            <w:r>
              <w:rPr>
                <w:b/>
                <w:sz w:val="21"/>
              </w:rPr>
              <w:t>1.</w:t>
            </w:r>
            <w:r>
              <w:rPr>
                <w:b/>
                <w:sz w:val="21"/>
              </w:rPr>
              <w:t>服务产出：</w:t>
            </w:r>
            <w:r>
              <w:rPr>
                <w:sz w:val="21"/>
              </w:rPr>
              <w:t>通过本服务达到促进</w:t>
            </w:r>
            <w:r>
              <w:rPr>
                <w:sz w:val="21"/>
              </w:rPr>
              <w:t>救助</w:t>
            </w:r>
            <w:r>
              <w:rPr>
                <w:sz w:val="21"/>
              </w:rPr>
              <w:t>对象服务质量和不同专业背景工作者及村（居委）专职人员的合作，为</w:t>
            </w:r>
            <w:r>
              <w:rPr>
                <w:sz w:val="21"/>
              </w:rPr>
              <w:t>救助</w:t>
            </w:r>
            <w:r>
              <w:rPr>
                <w:sz w:val="21"/>
              </w:rPr>
              <w:t>对象提供细心</w:t>
            </w:r>
            <w:r>
              <w:rPr>
                <w:sz w:val="21"/>
              </w:rPr>
              <w:t>、</w:t>
            </w:r>
            <w:r>
              <w:rPr>
                <w:sz w:val="21"/>
              </w:rPr>
              <w:t>贴心</w:t>
            </w:r>
            <w:r>
              <w:rPr>
                <w:sz w:val="21"/>
              </w:rPr>
              <w:t>、</w:t>
            </w:r>
            <w:r>
              <w:rPr>
                <w:sz w:val="21"/>
              </w:rPr>
              <w:t>温馨的服务，满足低保对象对服务多方面需求的目标。</w:t>
            </w:r>
          </w:p>
          <w:p>
            <w:pPr>
              <w:jc w:val="both"/>
            </w:pPr>
            <w:r>
              <w:rPr>
                <w:b/>
                <w:sz w:val="21"/>
              </w:rPr>
              <w:t>2.</w:t>
            </w:r>
            <w:r>
              <w:rPr>
                <w:b/>
                <w:sz w:val="21"/>
              </w:rPr>
              <w:t>服务时数要求：</w:t>
            </w:r>
            <w:r>
              <w:rPr>
                <w:sz w:val="21"/>
              </w:rPr>
              <w:t>禅城区</w:t>
            </w:r>
            <w:r>
              <w:rPr>
                <w:sz w:val="21"/>
              </w:rPr>
              <w:t>社会救助社工服务</w:t>
            </w:r>
            <w:r>
              <w:rPr>
                <w:sz w:val="21"/>
              </w:rPr>
              <w:t>项目包括五大服务内容，配置</w:t>
            </w:r>
            <w:r>
              <w:rPr>
                <w:sz w:val="21"/>
              </w:rPr>
              <w:t>5</w:t>
            </w:r>
            <w:r>
              <w:rPr>
                <w:sz w:val="21"/>
              </w:rPr>
              <w:t>名</w:t>
            </w:r>
            <w:r>
              <w:rPr>
                <w:sz w:val="21"/>
              </w:rPr>
              <w:t>专职社会救助</w:t>
            </w:r>
            <w:r>
              <w:rPr>
                <w:sz w:val="21"/>
              </w:rPr>
              <w:t>社会工作者</w:t>
            </w:r>
            <w:r>
              <w:rPr>
                <w:sz w:val="21"/>
              </w:rPr>
              <w:t>，</w:t>
            </w:r>
            <w:r>
              <w:rPr>
                <w:sz w:val="21"/>
              </w:rPr>
              <w:t>1名兼职督导</w:t>
            </w:r>
            <w:r>
              <w:rPr>
                <w:sz w:val="21"/>
              </w:rPr>
              <w:t>，该项目一年的所有社工的总服务时间不少于</w:t>
            </w:r>
            <w:r>
              <w:rPr>
                <w:sz w:val="21"/>
              </w:rPr>
              <w:t>9800</w:t>
            </w:r>
            <w:r>
              <w:rPr>
                <w:sz w:val="21"/>
              </w:rPr>
              <w:t>小时，所需达到的基本指标量化如下：服务时数（全年）</w:t>
            </w:r>
          </w:p>
          <w:tbl>
            <w:tblPr>
              <w:tblBorders>
                <w:top w:val="none" w:color="000000" w:sz="4"/>
                <w:left w:val="none" w:color="000000" w:sz="4"/>
                <w:bottom w:val="none" w:color="000000" w:sz="4"/>
                <w:right w:val="none" w:color="000000" w:sz="4"/>
                <w:insideH w:val="none"/>
                <w:insideV w:val="none"/>
              </w:tblBorders>
            </w:tblPr>
            <w:tblGrid>
              <w:gridCol w:w="2816"/>
              <w:gridCol w:w="1469"/>
              <w:gridCol w:w="1313"/>
            </w:tblGrid>
            <w:tr>
              <w:tc>
                <w:tcPr>
                  <w:tcW w:type="dxa" w:w="2816"/>
                  <w:tcBorders>
                    <w:top w:val="single" w:color="000000" w:sz="8"/>
                    <w:left w:val="single" w:color="000000" w:sz="8"/>
                    <w:bottom w:val="single" w:color="000000" w:sz="8"/>
                    <w:right w:val="single" w:color="000000" w:sz="8"/>
                  </w:tcBorders>
                  <w:vAlign w:val="top"/>
                </w:tcPr>
                <w:p>
                  <w:pPr>
                    <w:jc w:val="center"/>
                  </w:pPr>
                  <w:r>
                    <w:rPr>
                      <w:b/>
                      <w:sz w:val="21"/>
                    </w:rPr>
                    <w:t>项目</w:t>
                  </w:r>
                </w:p>
              </w:tc>
              <w:tc>
                <w:tcPr>
                  <w:tcW w:type="dxa" w:w="1469"/>
                  <w:tcBorders>
                    <w:top w:val="single" w:color="000000" w:sz="8"/>
                    <w:left w:val="single" w:color="000000" w:sz="8"/>
                    <w:bottom w:val="single" w:color="000000" w:sz="8"/>
                    <w:right w:val="single" w:color="000000" w:sz="8"/>
                  </w:tcBorders>
                  <w:vAlign w:val="top"/>
                </w:tcPr>
                <w:p>
                  <w:pPr>
                    <w:jc w:val="center"/>
                  </w:pPr>
                  <w:r>
                    <w:rPr>
                      <w:b/>
                      <w:sz w:val="21"/>
                    </w:rPr>
                    <w:t>单位</w:t>
                  </w:r>
                </w:p>
              </w:tc>
              <w:tc>
                <w:tcPr>
                  <w:tcW w:type="dxa" w:w="1313"/>
                  <w:tcBorders>
                    <w:top w:val="single" w:color="000000" w:sz="8"/>
                    <w:left w:val="single" w:color="000000" w:sz="8"/>
                    <w:bottom w:val="single" w:color="000000" w:sz="8"/>
                    <w:right w:val="single" w:color="000000" w:sz="8"/>
                  </w:tcBorders>
                  <w:vAlign w:val="top"/>
                </w:tcPr>
                <w:p>
                  <w:pPr>
                    <w:jc w:val="center"/>
                  </w:pPr>
                  <w:r>
                    <w:rPr>
                      <w:b/>
                      <w:sz w:val="21"/>
                    </w:rPr>
                    <w:t>工时</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精准化日常服务</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4120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个案服务</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1390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经验提炼</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420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其他服务</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960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社会工作相关行政工作</w:t>
                  </w:r>
                </w:p>
              </w:tc>
              <w:tc>
                <w:tcPr>
                  <w:tcW w:type="dxa" w:w="1469"/>
                  <w:tcBorders>
                    <w:top w:val="none" w:color="000000" w:sz="4"/>
                    <w:left w:val="single" w:color="000000" w:sz="8"/>
                    <w:bottom w:val="single" w:color="000000" w:sz="8"/>
                    <w:right w:val="single" w:color="000000" w:sz="8"/>
                  </w:tcBorders>
                  <w:vAlign w:val="top"/>
                </w:tcPr>
                <w:p>
                  <w:pPr>
                    <w:jc w:val="center"/>
                  </w:pPr>
                  <w:r>
                    <w:rPr>
                      <w:sz w:val="21"/>
                    </w:rPr>
                    <w:t>小时</w:t>
                  </w:r>
                </w:p>
              </w:tc>
              <w:tc>
                <w:tcPr>
                  <w:tcW w:type="dxa" w:w="1313"/>
                  <w:tcBorders>
                    <w:top w:val="none" w:color="000000" w:sz="4"/>
                    <w:left w:val="single" w:color="000000" w:sz="8"/>
                    <w:bottom w:val="single" w:color="000000" w:sz="8"/>
                    <w:right w:val="single" w:color="000000" w:sz="8"/>
                  </w:tcBorders>
                  <w:vAlign w:val="top"/>
                </w:tcPr>
                <w:p>
                  <w:pPr>
                    <w:jc w:val="center"/>
                  </w:pPr>
                  <w:r>
                    <w:rPr>
                      <w:sz w:val="21"/>
                    </w:rPr>
                    <w:t>950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协助完成社会救助指定工作任务</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1960</w:t>
                  </w:r>
                </w:p>
              </w:tc>
            </w:tr>
            <w:tr>
              <w:tc>
                <w:tcPr>
                  <w:tcW w:type="dxa" w:w="2816"/>
                  <w:tcBorders>
                    <w:top w:val="none" w:color="000000" w:sz="4"/>
                    <w:left w:val="single" w:color="000000" w:sz="8"/>
                    <w:bottom w:val="single" w:color="000000" w:sz="8"/>
                    <w:right w:val="single" w:color="000000" w:sz="8"/>
                  </w:tcBorders>
                  <w:vAlign w:val="top"/>
                </w:tcPr>
                <w:p>
                  <w:pPr>
                    <w:jc w:val="center"/>
                  </w:pPr>
                  <w:r>
                    <w:rPr>
                      <w:sz w:val="21"/>
                    </w:rPr>
                    <w:t>合计</w:t>
                  </w:r>
                </w:p>
              </w:tc>
              <w:tc>
                <w:tcPr>
                  <w:tcW w:type="dxa" w:w="1469"/>
                  <w:tcBorders>
                    <w:top w:val="none" w:color="000000" w:sz="4"/>
                    <w:left w:val="none" w:color="000000" w:sz="4"/>
                    <w:bottom w:val="single" w:color="000000" w:sz="8"/>
                    <w:right w:val="single" w:color="000000" w:sz="8"/>
                  </w:tcBorders>
                  <w:vAlign w:val="top"/>
                </w:tcPr>
                <w:p>
                  <w:pPr>
                    <w:jc w:val="center"/>
                  </w:pPr>
                  <w:r>
                    <w:rPr>
                      <w:sz w:val="21"/>
                    </w:rPr>
                    <w:t>小时</w:t>
                  </w:r>
                </w:p>
              </w:tc>
              <w:tc>
                <w:tcPr>
                  <w:tcW w:type="dxa" w:w="1313"/>
                  <w:tcBorders>
                    <w:top w:val="none" w:color="000000" w:sz="4"/>
                    <w:left w:val="none" w:color="000000" w:sz="4"/>
                    <w:bottom w:val="single" w:color="000000" w:sz="8"/>
                    <w:right w:val="single" w:color="000000" w:sz="8"/>
                  </w:tcBorders>
                  <w:vAlign w:val="top"/>
                </w:tcPr>
                <w:p>
                  <w:pPr>
                    <w:jc w:val="center"/>
                  </w:pPr>
                  <w:r>
                    <w:rPr>
                      <w:sz w:val="21"/>
                    </w:rPr>
                    <w:t>9800</w:t>
                  </w:r>
                </w:p>
              </w:tc>
            </w:tr>
          </w:tbl>
          <w:p>
            <w:pPr>
              <w:jc w:val="both"/>
            </w:pPr>
            <w:r>
              <w:rPr>
                <w:b/>
                <w:sz w:val="21"/>
              </w:rPr>
              <w:t>三、</w:t>
            </w:r>
            <w:r>
              <w:rPr>
                <w:b/>
                <w:sz w:val="21"/>
              </w:rPr>
              <w:t>人员配备</w:t>
            </w:r>
          </w:p>
          <w:p>
            <w:pPr>
              <w:jc w:val="both"/>
            </w:pPr>
            <w:r>
              <w:rPr>
                <w:sz w:val="21"/>
              </w:rPr>
              <w:t>1.</w:t>
            </w:r>
            <w:r>
              <w:rPr>
                <w:sz w:val="21"/>
              </w:rPr>
              <w:t>本项目服务经费共计</w:t>
            </w:r>
            <w:r>
              <w:rPr>
                <w:sz w:val="21"/>
              </w:rPr>
              <w:t>65万元每年，结合项目未来发展方向和工作内容，项目最低人力配比如下：</w:t>
            </w:r>
          </w:p>
          <w:tbl>
            <w:tblPr>
              <w:tblBorders>
                <w:top w:val="none" w:color="000000" w:sz="4"/>
                <w:left w:val="none" w:color="000000" w:sz="4"/>
                <w:bottom w:val="none" w:color="000000" w:sz="4"/>
                <w:right w:val="none" w:color="000000" w:sz="4"/>
                <w:insideH w:val="none"/>
                <w:insideV w:val="none"/>
              </w:tblBorders>
            </w:tblPr>
            <w:tblGrid>
              <w:gridCol w:w="657"/>
              <w:gridCol w:w="1191"/>
              <w:gridCol w:w="746"/>
              <w:gridCol w:w="3005"/>
            </w:tblGrid>
            <w:tr>
              <w:tc>
                <w:tcPr>
                  <w:tcW w:type="dxa" w:w="657"/>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1191"/>
                  <w:tcBorders>
                    <w:top w:val="single" w:color="000000" w:sz="8"/>
                    <w:left w:val="single" w:color="000000" w:sz="8"/>
                    <w:bottom w:val="single" w:color="000000" w:sz="8"/>
                    <w:right w:val="single" w:color="000000" w:sz="8"/>
                  </w:tcBorders>
                  <w:vAlign w:val="top"/>
                </w:tcPr>
                <w:p>
                  <w:pPr>
                    <w:jc w:val="center"/>
                  </w:pPr>
                  <w:r>
                    <w:rPr>
                      <w:sz w:val="21"/>
                    </w:rPr>
                    <w:t>岗位名称</w:t>
                  </w:r>
                </w:p>
              </w:tc>
              <w:tc>
                <w:tcPr>
                  <w:tcW w:type="dxa" w:w="746"/>
                  <w:tcBorders>
                    <w:top w:val="single" w:color="000000" w:sz="8"/>
                    <w:left w:val="single" w:color="000000" w:sz="8"/>
                    <w:bottom w:val="single" w:color="000000" w:sz="8"/>
                    <w:right w:val="single" w:color="000000" w:sz="8"/>
                  </w:tcBorders>
                  <w:vAlign w:val="top"/>
                </w:tcPr>
                <w:p>
                  <w:pPr>
                    <w:jc w:val="center"/>
                  </w:pPr>
                  <w:r>
                    <w:rPr>
                      <w:sz w:val="21"/>
                    </w:rPr>
                    <w:t>数量</w:t>
                  </w:r>
                </w:p>
              </w:tc>
              <w:tc>
                <w:tcPr>
                  <w:tcW w:type="dxa" w:w="3005"/>
                  <w:tcBorders>
                    <w:top w:val="single" w:color="000000" w:sz="8"/>
                    <w:left w:val="single" w:color="000000" w:sz="8"/>
                    <w:bottom w:val="single" w:color="000000" w:sz="8"/>
                    <w:right w:val="single" w:color="000000" w:sz="8"/>
                  </w:tcBorders>
                  <w:vAlign w:val="top"/>
                </w:tcPr>
                <w:p>
                  <w:pPr>
                    <w:jc w:val="center"/>
                  </w:pPr>
                  <w:r>
                    <w:rPr>
                      <w:sz w:val="21"/>
                    </w:rPr>
                    <w:t>基本要求</w:t>
                  </w:r>
                </w:p>
              </w:tc>
            </w:tr>
            <w:tr>
              <w:tc>
                <w:tcPr>
                  <w:tcW w:type="dxa" w:w="657"/>
                  <w:tcBorders>
                    <w:top w:val="none" w:color="000000" w:sz="4"/>
                    <w:left w:val="single" w:color="000000" w:sz="8"/>
                    <w:bottom w:val="single" w:color="000000" w:sz="8"/>
                    <w:right w:val="single" w:color="000000" w:sz="8"/>
                  </w:tcBorders>
                  <w:vAlign w:val="top"/>
                </w:tcPr>
                <w:p>
                  <w:pPr>
                    <w:jc w:val="center"/>
                  </w:pPr>
                  <w:r>
                    <w:rPr>
                      <w:sz w:val="21"/>
                    </w:rPr>
                    <w:t>1</w:t>
                  </w:r>
                </w:p>
              </w:tc>
              <w:tc>
                <w:tcPr>
                  <w:tcW w:type="dxa" w:w="1191"/>
                  <w:tcBorders>
                    <w:top w:val="none" w:color="000000" w:sz="4"/>
                    <w:left w:val="single" w:color="000000" w:sz="8"/>
                    <w:bottom w:val="single" w:color="000000" w:sz="8"/>
                    <w:right w:val="single" w:color="000000" w:sz="8"/>
                  </w:tcBorders>
                  <w:vAlign w:val="top"/>
                </w:tcPr>
                <w:p>
                  <w:pPr>
                    <w:jc w:val="center"/>
                  </w:pPr>
                  <w:r>
                    <w:rPr>
                      <w:sz w:val="21"/>
                    </w:rPr>
                    <w:t>项目负责人</w:t>
                  </w:r>
                </w:p>
              </w:tc>
              <w:tc>
                <w:tcPr>
                  <w:tcW w:type="dxa" w:w="746"/>
                  <w:tcBorders>
                    <w:top w:val="none" w:color="000000" w:sz="4"/>
                    <w:left w:val="single" w:color="000000" w:sz="8"/>
                    <w:bottom w:val="single" w:color="000000" w:sz="8"/>
                    <w:right w:val="single" w:color="000000" w:sz="8"/>
                  </w:tcBorders>
                  <w:vAlign w:val="top"/>
                </w:tcPr>
                <w:p>
                  <w:pPr>
                    <w:jc w:val="center"/>
                  </w:pPr>
                  <w:r>
                    <w:rPr>
                      <w:sz w:val="21"/>
                    </w:rPr>
                    <w:t>1名</w:t>
                  </w:r>
                </w:p>
              </w:tc>
              <w:tc>
                <w:tcPr>
                  <w:tcW w:type="dxa" w:w="3005"/>
                  <w:tcBorders>
                    <w:top w:val="none" w:color="000000" w:sz="4"/>
                    <w:left w:val="single" w:color="000000" w:sz="8"/>
                    <w:bottom w:val="single" w:color="000000" w:sz="8"/>
                    <w:right w:val="single" w:color="000000" w:sz="8"/>
                  </w:tcBorders>
                  <w:vAlign w:val="top"/>
                </w:tcPr>
                <w:p>
                  <w:pPr>
                    <w:jc w:val="center"/>
                  </w:pPr>
                  <w:r>
                    <w:rPr>
                      <w:sz w:val="21"/>
                    </w:rPr>
                    <w:t>取得社会工作师（中级或以上）证书或大学本科以上学历（社会工作及相关专业）</w:t>
                  </w:r>
                </w:p>
              </w:tc>
            </w:tr>
            <w:tr>
              <w:tc>
                <w:tcPr>
                  <w:tcW w:type="dxa" w:w="657"/>
                  <w:tcBorders>
                    <w:top w:val="none" w:color="000000" w:sz="4"/>
                    <w:left w:val="single" w:color="000000" w:sz="8"/>
                    <w:bottom w:val="single" w:color="000000" w:sz="8"/>
                    <w:right w:val="single" w:color="000000" w:sz="8"/>
                  </w:tcBorders>
                  <w:vAlign w:val="top"/>
                </w:tcPr>
                <w:p>
                  <w:pPr>
                    <w:jc w:val="center"/>
                  </w:pPr>
                  <w:r>
                    <w:rPr>
                      <w:sz w:val="21"/>
                    </w:rPr>
                    <w:t>2</w:t>
                  </w:r>
                </w:p>
              </w:tc>
              <w:tc>
                <w:tcPr>
                  <w:tcW w:type="dxa" w:w="1191"/>
                  <w:tcBorders>
                    <w:top w:val="none" w:color="000000" w:sz="4"/>
                    <w:left w:val="single" w:color="000000" w:sz="8"/>
                    <w:bottom w:val="single" w:color="000000" w:sz="8"/>
                    <w:right w:val="single" w:color="000000" w:sz="8"/>
                  </w:tcBorders>
                  <w:vAlign w:val="top"/>
                </w:tcPr>
                <w:p>
                  <w:pPr>
                    <w:jc w:val="center"/>
                  </w:pPr>
                  <w:r>
                    <w:rPr>
                      <w:sz w:val="21"/>
                    </w:rPr>
                    <w:t>专业督导</w:t>
                  </w:r>
                </w:p>
              </w:tc>
              <w:tc>
                <w:tcPr>
                  <w:tcW w:type="dxa" w:w="746"/>
                  <w:tcBorders>
                    <w:top w:val="none" w:color="000000" w:sz="4"/>
                    <w:left w:val="single" w:color="000000" w:sz="8"/>
                    <w:bottom w:val="single" w:color="000000" w:sz="8"/>
                    <w:right w:val="single" w:color="000000" w:sz="8"/>
                  </w:tcBorders>
                  <w:vAlign w:val="top"/>
                </w:tcPr>
                <w:p>
                  <w:pPr>
                    <w:jc w:val="center"/>
                  </w:pPr>
                  <w:r>
                    <w:rPr>
                      <w:sz w:val="21"/>
                    </w:rPr>
                    <w:t>1名</w:t>
                  </w:r>
                </w:p>
              </w:tc>
              <w:tc>
                <w:tcPr>
                  <w:tcW w:type="dxa" w:w="3005"/>
                  <w:tcBorders>
                    <w:top w:val="none" w:color="000000" w:sz="4"/>
                    <w:left w:val="single" w:color="000000" w:sz="8"/>
                    <w:bottom w:val="single" w:color="000000" w:sz="8"/>
                    <w:right w:val="single" w:color="000000" w:sz="8"/>
                  </w:tcBorders>
                  <w:vAlign w:val="top"/>
                </w:tcPr>
                <w:p>
                  <w:pPr>
                    <w:jc w:val="center"/>
                  </w:pPr>
                  <w:r>
                    <w:rPr>
                      <w:sz w:val="21"/>
                    </w:rPr>
                    <w:t>考取督导证（</w:t>
                  </w:r>
                  <w:r>
                    <w:rPr>
                      <w:sz w:val="21"/>
                    </w:rPr>
                    <w:t>取得相关督导资格</w:t>
                  </w:r>
                  <w:r>
                    <w:rPr>
                      <w:sz w:val="21"/>
                    </w:rPr>
                    <w:t>）</w:t>
                  </w:r>
                </w:p>
              </w:tc>
            </w:tr>
            <w:tr>
              <w:tc>
                <w:tcPr>
                  <w:tcW w:type="dxa" w:w="657"/>
                  <w:tcBorders>
                    <w:top w:val="none" w:color="000000" w:sz="4"/>
                    <w:left w:val="single" w:color="000000" w:sz="8"/>
                    <w:bottom w:val="single" w:color="000000" w:sz="8"/>
                    <w:right w:val="single" w:color="000000" w:sz="8"/>
                  </w:tcBorders>
                  <w:vAlign w:val="top"/>
                </w:tcPr>
                <w:p>
                  <w:pPr>
                    <w:jc w:val="center"/>
                  </w:pPr>
                  <w:r>
                    <w:rPr>
                      <w:sz w:val="21"/>
                    </w:rPr>
                    <w:t>3</w:t>
                  </w:r>
                </w:p>
              </w:tc>
              <w:tc>
                <w:tcPr>
                  <w:tcW w:type="dxa" w:w="1191"/>
                  <w:tcBorders>
                    <w:top w:val="none" w:color="000000" w:sz="4"/>
                    <w:left w:val="single" w:color="000000" w:sz="8"/>
                    <w:bottom w:val="single" w:color="000000" w:sz="8"/>
                    <w:right w:val="single" w:color="000000" w:sz="8"/>
                  </w:tcBorders>
                  <w:vAlign w:val="top"/>
                </w:tcPr>
                <w:p>
                  <w:pPr>
                    <w:jc w:val="center"/>
                  </w:pPr>
                  <w:r>
                    <w:rPr>
                      <w:sz w:val="21"/>
                    </w:rPr>
                    <w:t>项目专员</w:t>
                  </w:r>
                </w:p>
              </w:tc>
              <w:tc>
                <w:tcPr>
                  <w:tcW w:type="dxa" w:w="746"/>
                  <w:tcBorders>
                    <w:top w:val="none" w:color="000000" w:sz="4"/>
                    <w:left w:val="single" w:color="000000" w:sz="8"/>
                    <w:bottom w:val="single" w:color="000000" w:sz="8"/>
                    <w:right w:val="single" w:color="000000" w:sz="8"/>
                  </w:tcBorders>
                  <w:vAlign w:val="top"/>
                </w:tcPr>
                <w:p>
                  <w:pPr>
                    <w:jc w:val="center"/>
                  </w:pPr>
                  <w:r>
                    <w:rPr>
                      <w:sz w:val="21"/>
                    </w:rPr>
                    <w:t>2名</w:t>
                  </w:r>
                </w:p>
              </w:tc>
              <w:tc>
                <w:tcPr>
                  <w:tcW w:type="dxa" w:w="3005"/>
                  <w:tcBorders>
                    <w:top w:val="none" w:color="000000" w:sz="4"/>
                    <w:left w:val="single" w:color="000000" w:sz="8"/>
                    <w:bottom w:val="single" w:color="000000" w:sz="8"/>
                    <w:right w:val="single" w:color="000000" w:sz="8"/>
                  </w:tcBorders>
                  <w:vAlign w:val="top"/>
                </w:tcPr>
                <w:p>
                  <w:pPr>
                    <w:jc w:val="center"/>
                  </w:pPr>
                  <w:r>
                    <w:rPr>
                      <w:sz w:val="21"/>
                    </w:rPr>
                    <w:t>取得助理社会工作师（初级或以上）证书或大学本科以上学历（社会工作及相关专业）</w:t>
                  </w:r>
                </w:p>
              </w:tc>
            </w:tr>
            <w:tr>
              <w:tc>
                <w:tcPr>
                  <w:tcW w:type="dxa" w:w="657"/>
                  <w:tcBorders>
                    <w:top w:val="none" w:color="000000" w:sz="4"/>
                    <w:left w:val="single" w:color="000000" w:sz="8"/>
                    <w:bottom w:val="single" w:color="000000" w:sz="8"/>
                    <w:right w:val="single" w:color="000000" w:sz="8"/>
                  </w:tcBorders>
                  <w:vAlign w:val="top"/>
                </w:tcPr>
                <w:p>
                  <w:pPr>
                    <w:jc w:val="center"/>
                  </w:pPr>
                  <w:r>
                    <w:rPr>
                      <w:sz w:val="21"/>
                    </w:rPr>
                    <w:t>4</w:t>
                  </w:r>
                </w:p>
              </w:tc>
              <w:tc>
                <w:tcPr>
                  <w:tcW w:type="dxa" w:w="1191"/>
                  <w:tcBorders>
                    <w:top w:val="none" w:color="000000" w:sz="4"/>
                    <w:left w:val="single" w:color="000000" w:sz="8"/>
                    <w:bottom w:val="single" w:color="000000" w:sz="8"/>
                    <w:right w:val="single" w:color="000000" w:sz="8"/>
                  </w:tcBorders>
                  <w:vAlign w:val="top"/>
                </w:tcPr>
                <w:p>
                  <w:pPr>
                    <w:jc w:val="center"/>
                  </w:pPr>
                  <w:r>
                    <w:rPr>
                      <w:sz w:val="21"/>
                    </w:rPr>
                    <w:t>社工助理</w:t>
                  </w:r>
                </w:p>
              </w:tc>
              <w:tc>
                <w:tcPr>
                  <w:tcW w:type="dxa" w:w="746"/>
                  <w:tcBorders>
                    <w:top w:val="none" w:color="000000" w:sz="4"/>
                    <w:left w:val="single" w:color="000000" w:sz="8"/>
                    <w:bottom w:val="single" w:color="000000" w:sz="8"/>
                    <w:right w:val="single" w:color="000000" w:sz="8"/>
                  </w:tcBorders>
                  <w:vAlign w:val="top"/>
                </w:tcPr>
                <w:p>
                  <w:pPr>
                    <w:jc w:val="center"/>
                  </w:pPr>
                  <w:r>
                    <w:rPr>
                      <w:sz w:val="21"/>
                    </w:rPr>
                    <w:t>2名</w:t>
                  </w:r>
                </w:p>
              </w:tc>
              <w:tc>
                <w:tcPr>
                  <w:tcW w:type="dxa" w:w="3005"/>
                  <w:tcBorders>
                    <w:top w:val="none" w:color="000000" w:sz="4"/>
                    <w:left w:val="single" w:color="000000" w:sz="8"/>
                    <w:bottom w:val="single" w:color="000000" w:sz="8"/>
                    <w:right w:val="single" w:color="000000" w:sz="8"/>
                  </w:tcBorders>
                  <w:vAlign w:val="top"/>
                </w:tcPr>
                <w:p>
                  <w:pPr>
                    <w:jc w:val="center"/>
                  </w:pPr>
                  <w:r>
                    <w:rPr>
                      <w:sz w:val="21"/>
                    </w:rPr>
                    <w:t>大专或以上学历</w:t>
                  </w:r>
                </w:p>
              </w:tc>
            </w:tr>
          </w:tbl>
          <w:p/>
          <w:p>
            <w:pPr>
              <w:jc w:val="both"/>
            </w:pPr>
            <w:r>
              <w:rPr>
                <w:sz w:val="21"/>
              </w:rPr>
              <w:t>2.</w:t>
            </w:r>
            <w:r>
              <w:rPr>
                <w:sz w:val="21"/>
              </w:rPr>
              <w:t>项目负责人负责项目的统筹和领导，项目负责人要及时有效地跟采购人保持良好沟通，并具备将禅城区社会救助服务推向更高水平的宏观理念及团队管理经验。</w:t>
            </w:r>
          </w:p>
          <w:p>
            <w:pPr>
              <w:jc w:val="both"/>
            </w:pPr>
            <w:r>
              <w:rPr>
                <w:sz w:val="21"/>
              </w:rPr>
              <w:t>3.</w:t>
            </w:r>
            <w:r>
              <w:rPr>
                <w:sz w:val="21"/>
              </w:rPr>
              <w:t>要求所有岗位人员要熟练掌握跟服务对象相关的政策内容。</w:t>
            </w:r>
          </w:p>
          <w:p>
            <w:pPr>
              <w:ind w:firstLine="422"/>
              <w:jc w:val="both"/>
            </w:pPr>
            <w:r>
              <w:rPr>
                <w:b/>
                <w:sz w:val="21"/>
              </w:rPr>
              <w:t>注：上述岗位要求是须达到的最低资质（资历）要求，允许高资质（资历）低聘，须提供以上人员的相关证书复印件加盖响应供应商公章作为证明材料。</w:t>
            </w:r>
          </w:p>
          <w:p>
            <w:pPr>
              <w:jc w:val="both"/>
            </w:pPr>
            <w:r>
              <w:rPr>
                <w:b/>
                <w:sz w:val="21"/>
              </w:rPr>
              <w:t>四、</w:t>
            </w:r>
            <w:r>
              <w:rPr>
                <w:b/>
                <w:sz w:val="21"/>
              </w:rPr>
              <w:t>质量要求</w:t>
            </w:r>
          </w:p>
          <w:p>
            <w:pPr>
              <w:jc w:val="both"/>
            </w:pPr>
            <w:r>
              <w:rPr>
                <w:sz w:val="21"/>
              </w:rPr>
              <w:t>1.</w:t>
            </w:r>
            <w:r>
              <w:rPr>
                <w:sz w:val="21"/>
              </w:rPr>
              <w:t>具有清晰明确的服务目标，针对项目需求能突出工作重点；具有完整详细地服务实施计划，确立合理和可操作的服务指标量；服务模式、方法具有科学性、操作性与合理性，确保根据项目实际需求有针对性地提供优质服务。项目管理必须有一定的制度要求和规范。财务核算和资金使用规范，项目结束时有结算及审计报告。</w:t>
            </w:r>
          </w:p>
          <w:p>
            <w:pPr>
              <w:jc w:val="both"/>
            </w:pPr>
            <w:r>
              <w:rPr>
                <w:sz w:val="21"/>
              </w:rPr>
              <w:t>2.</w:t>
            </w:r>
            <w:r>
              <w:rPr>
                <w:sz w:val="21"/>
              </w:rPr>
              <w:t>成交供应商应具有与政府部门和镇、街道及村（居委）沟通合作的良好经验，能积极回应采购人的要求，不断改善服务水平，提升服务质量。</w:t>
            </w:r>
          </w:p>
          <w:p>
            <w:pPr>
              <w:jc w:val="both"/>
            </w:pPr>
            <w:r>
              <w:rPr>
                <w:sz w:val="21"/>
              </w:rPr>
              <w:t>3.</w:t>
            </w:r>
            <w:r>
              <w:rPr>
                <w:sz w:val="21"/>
              </w:rPr>
              <w:t>成交供应商要根据《佛山市禅城区人民政府办公室关于印发禅城区政府购买社会工作服务预算编制指引、禅城区政府购买社会工作服务组织实施指引的通知》（佛禅府办函〔</w:t>
            </w:r>
            <w:r>
              <w:rPr>
                <w:sz w:val="21"/>
              </w:rPr>
              <w:t>2016〕114号，如有最新通知，以最新为准）的规范约束，有效利用资金，最大程度提供服务。</w:t>
            </w:r>
          </w:p>
          <w:p>
            <w:pPr>
              <w:jc w:val="both"/>
            </w:pPr>
            <w:r>
              <w:rPr>
                <w:sz w:val="21"/>
              </w:rPr>
              <w:t>4.</w:t>
            </w:r>
            <w:r>
              <w:rPr>
                <w:sz w:val="21"/>
              </w:rPr>
              <w:t>成交供应商需要清晰禅城区社会救助服务对象的基础数据，对基础数据进行全面收集建档并系统分析，对服务对象的人口学特征、社会学特征、地理分布、入保原因等进行系统的分析与研究。在数据收集的基础上为服务对象进行分层分类管理，从而确定服务过程中的优先次序，选取重点服务群体，并进行详细建档，为后续服务提供基础平台。而在后续跟进流程上，需要有针对性地跟进机制、跟进频率以及跟进规范，保证跟进流程清晰化，提升整体服务的有效性。</w:t>
            </w:r>
          </w:p>
          <w:p>
            <w:pPr>
              <w:jc w:val="both"/>
            </w:pPr>
            <w:r>
              <w:rPr>
                <w:sz w:val="21"/>
              </w:rPr>
              <w:t>5.</w:t>
            </w:r>
            <w:r>
              <w:rPr>
                <w:sz w:val="21"/>
              </w:rPr>
              <w:t>成交供应商每月根据采购人社会救助科提供的新增、减退名单及时更新数据库，每季度书面反馈数据分析结果及下一步服务计划。</w:t>
            </w:r>
          </w:p>
          <w:p>
            <w:pPr>
              <w:jc w:val="both"/>
            </w:pPr>
            <w:r>
              <w:rPr>
                <w:sz w:val="21"/>
              </w:rPr>
              <w:t>6.</w:t>
            </w:r>
            <w:r>
              <w:rPr>
                <w:sz w:val="21"/>
              </w:rPr>
              <w:t>成交供应商要发挥主观能动性，多走出去，主动发现，主动链接资源，要与全区各镇街、村（居）委会建立良好互动关系。</w:t>
            </w:r>
          </w:p>
          <w:p>
            <w:pPr>
              <w:jc w:val="both"/>
            </w:pPr>
            <w:r>
              <w:rPr>
                <w:sz w:val="21"/>
              </w:rPr>
              <w:t>7.</w:t>
            </w:r>
            <w:r>
              <w:rPr>
                <w:sz w:val="21"/>
              </w:rPr>
              <w:t>成交供应商在提供服务期间如需调整指标内容，要经过采购人审批通过后再调整，不得私自调整服务内容、经费支出、人员安排等方面条款。</w:t>
            </w:r>
          </w:p>
          <w:p>
            <w:pPr>
              <w:jc w:val="both"/>
            </w:pPr>
            <w:r>
              <w:rPr>
                <w:sz w:val="21"/>
              </w:rPr>
              <w:t>8.</w:t>
            </w:r>
            <w:r>
              <w:rPr>
                <w:sz w:val="21"/>
              </w:rPr>
              <w:t>成交供应商在成交一个月之内向采购人提交年度服务计划、经费支出预算明细表（专款专用、不得列支固定资产）、人员配备及岗位说明情况表。</w:t>
            </w:r>
          </w:p>
          <w:p>
            <w:pPr>
              <w:jc w:val="both"/>
            </w:pPr>
            <w:r>
              <w:rPr>
                <w:sz w:val="21"/>
              </w:rPr>
              <w:t>9.</w:t>
            </w:r>
            <w:r>
              <w:rPr>
                <w:sz w:val="21"/>
              </w:rPr>
              <w:t>成交供应商应在采购人同意的情况下进行有关本项目的宣传报道，且每季度最少提炼一次典型案例或活动供采购人宣传报道。</w:t>
            </w:r>
          </w:p>
          <w:p>
            <w:pPr>
              <w:jc w:val="both"/>
            </w:pPr>
            <w:r>
              <w:rPr>
                <w:sz w:val="21"/>
              </w:rPr>
              <w:t>10.</w:t>
            </w:r>
            <w:r>
              <w:rPr>
                <w:sz w:val="21"/>
              </w:rPr>
              <w:t>成交供应商应严格保护服务对象的隐私，杜绝一切形式的所有对外泄露。</w:t>
            </w:r>
          </w:p>
          <w:p>
            <w:pPr>
              <w:ind w:firstLine="422"/>
              <w:jc w:val="both"/>
            </w:pPr>
            <w:r>
              <w:rPr>
                <w:b/>
                <w:sz w:val="21"/>
              </w:rPr>
              <w:t>注：以上</w:t>
            </w:r>
            <w:r>
              <w:rPr>
                <w:b/>
                <w:sz w:val="21"/>
              </w:rPr>
              <w:t>10条作为本项目每年中、末期评估的重要参照，采购人或采购人委托第三方机构每年中期与末期对成交供应商进行评估。</w:t>
            </w:r>
          </w:p>
          <w:p>
            <w:pPr>
              <w:jc w:val="both"/>
            </w:pPr>
            <w:r>
              <w:rPr>
                <w:b/>
                <w:sz w:val="21"/>
              </w:rPr>
              <w:t>五、</w:t>
            </w:r>
            <w:r>
              <w:rPr>
                <w:b/>
                <w:sz w:val="21"/>
              </w:rPr>
              <w:t>其他要求</w:t>
            </w:r>
          </w:p>
          <w:p>
            <w:pPr>
              <w:jc w:val="both"/>
            </w:pPr>
            <w:r>
              <w:rPr>
                <w:sz w:val="21"/>
              </w:rPr>
              <w:t>1.</w:t>
            </w:r>
            <w:r>
              <w:rPr>
                <w:sz w:val="21"/>
              </w:rPr>
              <w:t>响应供应商的机构理事会人员组成合理且</w:t>
            </w:r>
            <w:r>
              <w:rPr>
                <w:sz w:val="21"/>
              </w:rPr>
              <w:t>60%及以上理事会成员须具有专业社会工作专业背景、工作经验和专业技术资格，以提供理事会成员的社会工作、社会学（心理学）专业的学历证或职称证书，或《社会工作者职业水平证书》复印件为准。</w:t>
            </w:r>
          </w:p>
          <w:p>
            <w:pPr>
              <w:jc w:val="both"/>
            </w:pPr>
            <w:r>
              <w:rPr>
                <w:sz w:val="21"/>
              </w:rPr>
              <w:t>2.</w:t>
            </w:r>
            <w:r>
              <w:rPr>
                <w:sz w:val="21"/>
              </w:rPr>
              <w:t>项目人员到岗时间：项目负责人须在项目启动时到岗，其余人员须在合同签订后</w:t>
            </w:r>
            <w:r>
              <w:rPr>
                <w:sz w:val="21"/>
              </w:rPr>
              <w:t>1个月内全员到岗。</w:t>
            </w:r>
          </w:p>
          <w:p>
            <w:r>
              <w:rPr>
                <w:sz w:val="21"/>
              </w:rPr>
              <w:t>3.因本项目服务对象包含部分精神障碍患者，服务内容涉及到入户和街区巡查，建议服务人员男性比例不少于</w:t>
            </w:r>
            <w:r>
              <w:rPr>
                <w:sz w:val="21"/>
              </w:rPr>
              <w:t>40%。</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佛山市禅城区民政局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采购机构代理服务收费标准：以每年的成交金额作为计算基数，按照中华人民共和国国家发展计划委员会颁发的计价格[2002]1980 号、国家发改委[2003]857号及发改价格 2011534 号文规定的“服务类”收费标准的80%×2年收取。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禅城区精准社会救助社工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采购包1（禅城区精准社会救助社工服务项目）：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投标（响应）供应商报价给予C1的价格扣除（C1的取值范围见价格扣除比例），即：评标（评审）价＝核实价－小微企业产品核实价×C1</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采购包1（禅城区精准社会救助社工服务项目）：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提供2021年度财务状况报告或响应文件递交截止日前6个月内（不含截止日当月）任意1个月的的财务状况报告复印件，或基本开户行出具的资信证明复印件。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采购包1（禅城区精准社会救助社工服务项目）：</w:t>
            </w:r>
          </w:p>
        </w:tc>
        <w:tc>
          <w:tcPr>
            <w:tcW w:type="dxa" w:w="4238"/>
          </w:tcPr>
          <w:p>
            <w:r>
              <w:rPr/>
              <w:t>采购包不属于专门面向中小企业采购项目</w:t>
            </w:r>
          </w:p>
        </w:tc>
      </w:tr>
    </w:tbl>
    <w:p/>
    <w:p>
      <w:pPr>
        <w:ind w:firstLine="480"/>
      </w:pPr>
      <w:r>
        <w:rPr/>
        <w:t>表二符合性审查表：</w:t>
      </w:r>
    </w:p>
    <w:p>
      <w:pPr>
        <w:ind w:firstLine="480"/>
      </w:pPr>
    </w:p>
    <w:p/>
    <w:p>
      <w:r>
        <w:rPr/>
        <w:t>采购包1（禅城区精准社会救助社工服务项目）：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采购包1禅城区精准社会救助社工服务项目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项目的认识和理解 (10.0分)</w:t>
            </w:r>
            <w:r>
              <w:rPr/>
              <w:t>，（等次分值选择：</w:t>
            </w:r>
            <w:r>
              <w:rPr/>
              <w:t>0.0;</w:t>
            </w:r>
            <w:r>
              <w:rPr/>
              <w:t>2.0;</w:t>
            </w:r>
            <w:r>
              <w:rPr/>
              <w:t>6.0;</w:t>
            </w:r>
            <w:r>
              <w:rPr/>
              <w:t>10.0;</w:t>
            </w:r>
            <w:r>
              <w:rPr/>
              <w:t>）</w:t>
            </w:r>
          </w:p>
        </w:tc>
        <w:tc>
          <w:tcPr>
            <w:tcW w:type="dxa" w:w="5076"/>
          </w:tcPr>
          <w:p>
            <w:pPr>
              <w:jc w:val="left"/>
            </w:pPr>
            <w:r>
              <w:rPr/>
              <w:t>根据响应供应商对项目的认识和理解进行评审： 1.对项目的服务内容、流程、方向等内容了解非常透彻，完全满足招标需求的，得10分； 2.对项目的服务内容、流程、方向等内容了解比较透彻，基本满足招标需求的，得6分； 3.对项目的服务内容、流程、方向等内容了解不清晰，不太满足招标需求的，得2分； 4.不提供方案不得分。</w:t>
            </w:r>
          </w:p>
        </w:tc>
      </w:tr>
      <w:tr>
        <w:tc>
          <w:tcPr>
            <w:tcW w:type="dxa" w:w="922"/>
            <w:gridSpan w:val="2"/>
            <w:vMerge/>
          </w:tcPr>
          <w:p/>
        </w:tc>
        <w:tc>
          <w:tcPr>
            <w:tcW w:type="dxa" w:w="2307"/>
          </w:tcPr>
          <w:p>
            <w:pPr>
              <w:jc w:val="left"/>
            </w:pPr>
            <w:r>
              <w:rPr/>
              <w:t>企业管理制度 (10.0分)</w:t>
            </w:r>
            <w:r>
              <w:rPr/>
              <w:t>，（等次分值选择：</w:t>
            </w:r>
            <w:r>
              <w:rPr/>
              <w:t>0.0;</w:t>
            </w:r>
            <w:r>
              <w:rPr/>
              <w:t>2.0;</w:t>
            </w:r>
            <w:r>
              <w:rPr/>
              <w:t>6.0;</w:t>
            </w:r>
            <w:r>
              <w:rPr/>
              <w:t>10.0;</w:t>
            </w:r>
            <w:r>
              <w:rPr/>
              <w:t>）</w:t>
            </w:r>
          </w:p>
        </w:tc>
        <w:tc>
          <w:tcPr>
            <w:tcW w:type="dxa" w:w="5076"/>
          </w:tcPr>
          <w:p>
            <w:pPr>
              <w:jc w:val="left"/>
            </w:pPr>
            <w:r>
              <w:rPr/>
              <w:t>根据响应供应商组织架构合理性、管理制度、人员培训等进行评分： 1.组织架构合理、管理制度完善、人员培训方案可行，得 10 分；  2.组织架构基本合理、管理制度基本完善、人员培训方案基本可行，得 6 分； 3.组织架构不合理、管理制度不完善、人员培训方案差，得 2 分； 4.不提供方案不得分。</w:t>
            </w:r>
          </w:p>
        </w:tc>
      </w:tr>
      <w:tr>
        <w:tc>
          <w:tcPr>
            <w:tcW w:type="dxa" w:w="922"/>
            <w:gridSpan w:val="2"/>
            <w:vMerge/>
          </w:tcPr>
          <w:p/>
        </w:tc>
        <w:tc>
          <w:tcPr>
            <w:tcW w:type="dxa" w:w="2307"/>
          </w:tcPr>
          <w:p>
            <w:pPr>
              <w:jc w:val="left"/>
            </w:pPr>
            <w:r>
              <w:rPr/>
              <w:t>项目方案及任务目标的可行性 (10.0分)</w:t>
            </w:r>
            <w:r>
              <w:rPr/>
              <w:t>，（等次分值选择：</w:t>
            </w:r>
            <w:r>
              <w:rPr/>
              <w:t>0.0;</w:t>
            </w:r>
            <w:r>
              <w:rPr/>
              <w:t>2.0;</w:t>
            </w:r>
            <w:r>
              <w:rPr/>
              <w:t>6.0;</w:t>
            </w:r>
            <w:r>
              <w:rPr/>
              <w:t>10.0;</w:t>
            </w:r>
            <w:r>
              <w:rPr/>
              <w:t>）</w:t>
            </w:r>
          </w:p>
        </w:tc>
        <w:tc>
          <w:tcPr>
            <w:tcW w:type="dxa" w:w="5076"/>
          </w:tcPr>
          <w:p>
            <w:pPr>
              <w:jc w:val="left"/>
            </w:pPr>
            <w:r>
              <w:rPr/>
              <w:t>根据服务计划的充分性、创新性和合理性进行评分： 1.服务计划非常充分、创新性强和完全合理，得10分；  2.服务计划基本充分、创新性基本合理，得6分；  3.服务计划不充分、创新性弱和不合理，得2分；  4.不提供方案不得分。</w:t>
            </w:r>
          </w:p>
        </w:tc>
      </w:tr>
      <w:tr>
        <w:tc>
          <w:tcPr>
            <w:tcW w:type="dxa" w:w="922"/>
            <w:gridSpan w:val="2"/>
            <w:vMerge/>
          </w:tcPr>
          <w:p/>
        </w:tc>
        <w:tc>
          <w:tcPr>
            <w:tcW w:type="dxa" w:w="2307"/>
          </w:tcPr>
          <w:p>
            <w:pPr>
              <w:jc w:val="left"/>
            </w:pPr>
            <w:r>
              <w:rPr/>
              <w:t>项目服务团队 (10.0分)</w:t>
            </w:r>
          </w:p>
        </w:tc>
        <w:tc>
          <w:tcPr>
            <w:tcW w:type="dxa" w:w="5076"/>
          </w:tcPr>
          <w:p>
            <w:pPr>
              <w:jc w:val="left"/>
            </w:pPr>
            <w:r>
              <w:rPr/>
              <w:t>1.根据各响应供应商拟派项目负责人（限1人）满足采购需求情况下，对其从事社会救助社会工作相关工作经验进行评审： （1）相关工作经验时间4年（含）以上，得5分； （2）相关工作经验3年（含）-4年（不含），得4分； （3）相关工作经验2年（含）-3年（不含），得3分；（4）相关工作经验1年（含）-2年（不含），得2分； （5）相关工作经验不足1年得1分； （6）其他或不提供不得分；本小项最高得5分。 2.根据各响应供应商拟派项目专员（限2人）满足采购需求情况下，对其从事社会救助社会工作相关工作经验（2人不重复得分，按工作经验得分最高者计分）进行评审： （1）相关工作经验时间3年（含）以上，得5分； （2）相关工作经验2年（含）-3年（不含），得4分； （3）相关工作经验1年（含）-2年（不含），得3分； （4）相关工作经验0.5年（含）-1年（不含），得2分；（5）相关工作经验不足0.5年得1分； （6）其他或不提供不得分；本小项最高得5分。 注：相关工作经验以最早取得相应经验年限为准；须提供相关证书、工作履历表、社保、合同等扫描件加盖响应供应商公章作为证明材料。</w:t>
            </w:r>
          </w:p>
        </w:tc>
      </w:tr>
      <w:tr>
        <w:tc>
          <w:tcPr>
            <w:tcW w:type="dxa" w:w="922"/>
            <w:gridSpan w:val="2"/>
            <w:vMerge/>
          </w:tcPr>
          <w:p/>
        </w:tc>
        <w:tc>
          <w:tcPr>
            <w:tcW w:type="dxa" w:w="2307"/>
          </w:tcPr>
          <w:p>
            <w:pPr>
              <w:jc w:val="left"/>
            </w:pPr>
            <w:r>
              <w:rPr/>
              <w:t>项目督导 (5.0分)</w:t>
            </w:r>
          </w:p>
        </w:tc>
        <w:tc>
          <w:tcPr>
            <w:tcW w:type="dxa" w:w="5076"/>
          </w:tcPr>
          <w:p>
            <w:pPr>
              <w:jc w:val="left"/>
            </w:pPr>
            <w:r>
              <w:rPr/>
              <w:t>根据各响应供应商拟派项目督导（限1人）满足采购需求情况下，对其从事社会工作督导工作相关工作经验进行评审： （1）相关工作经验时间5年（含）以上，得5分； （2）相关工作经验4年（含）-5年（不含），得4分；相关工作经验3年（含）-4年（不含），得3分； （3）相关工作经验2年（含）-3年（不含），得2分； （4）相关工作经验不足2年得1分； （5）其他或不提供不得分，本项最高得5分。 注：督导相关工作经验以取得相关督导资格开始起算；须提供相关工作履历表、聘用合同等扫描件加盖响应供应商公章作为证明材料；相关工作经验以最早取得相应经验年限为准。</w:t>
            </w:r>
          </w:p>
        </w:tc>
      </w:tr>
      <w:tr>
        <w:tc>
          <w:tcPr>
            <w:tcW w:type="dxa" w:w="922"/>
            <w:gridSpan w:val="2"/>
            <w:vMerge w:val="restart"/>
          </w:tcPr>
          <w:p>
            <w:pPr>
              <w:jc w:val="center"/>
            </w:pPr>
            <w:r>
              <w:rPr/>
              <w:t>商务部分</w:t>
            </w:r>
          </w:p>
        </w:tc>
        <w:tc>
          <w:tcPr>
            <w:tcW w:type="dxa" w:w="2307"/>
          </w:tcPr>
          <w:p>
            <w:pPr>
              <w:jc w:val="left"/>
            </w:pPr>
            <w:r>
              <w:rPr/>
              <w:t>同类项目业绩 (20.0分)</w:t>
            </w:r>
          </w:p>
        </w:tc>
        <w:tc>
          <w:tcPr>
            <w:tcW w:type="dxa" w:w="5076"/>
          </w:tcPr>
          <w:p>
            <w:pPr>
              <w:jc w:val="left"/>
            </w:pPr>
            <w:r>
              <w:rPr/>
              <w:t>2018 年1月1日至今，以响应供应商名义独立完成的社会救助同类项目业绩，并获得良好或以上评价，每提供一项得4分，最高得20分。  注：须同时提供评价报告和合同关键页扫描件加盖响应供应商公章（合同关键页指签订合同双方的单位名称、合同项目名称、项目金额、签订合同双方的落款盖章、签订日期等）作为同类业绩评价证明资料，不提供不得分。</w:t>
            </w:r>
          </w:p>
        </w:tc>
      </w:tr>
      <w:tr>
        <w:tc>
          <w:tcPr>
            <w:tcW w:type="dxa" w:w="922"/>
            <w:gridSpan w:val="2"/>
            <w:vMerge/>
          </w:tcPr>
          <w:p/>
        </w:tc>
        <w:tc>
          <w:tcPr>
            <w:tcW w:type="dxa" w:w="2307"/>
          </w:tcPr>
          <w:p>
            <w:pPr>
              <w:jc w:val="left"/>
            </w:pPr>
            <w:r>
              <w:rPr/>
              <w:t>政治思想建设 (5.0分)</w:t>
            </w:r>
          </w:p>
        </w:tc>
        <w:tc>
          <w:tcPr>
            <w:tcW w:type="dxa" w:w="5076"/>
          </w:tcPr>
          <w:p>
            <w:pPr>
              <w:jc w:val="left"/>
            </w:pPr>
            <w:r>
              <w:rPr/>
              <w:t>响应供应商具有党支部的得2分，党支部获得过表彰的，得5分。 注：须提供相关组织的成立批复（或其他证明资料）扫描件加盖响应供应商公章作为证明材料，不提供不得分。</w:t>
            </w:r>
          </w:p>
        </w:tc>
      </w:tr>
      <w:tr>
        <w:tc>
          <w:tcPr>
            <w:tcW w:type="dxa" w:w="922"/>
            <w:gridSpan w:val="2"/>
            <w:vMerge/>
          </w:tcPr>
          <w:p/>
        </w:tc>
        <w:tc>
          <w:tcPr>
            <w:tcW w:type="dxa" w:w="2307"/>
          </w:tcPr>
          <w:p>
            <w:pPr>
              <w:jc w:val="left"/>
            </w:pPr>
            <w:r>
              <w:rPr/>
              <w:t>服务便利性情况 (5.0分)</w:t>
            </w:r>
          </w:p>
        </w:tc>
        <w:tc>
          <w:tcPr>
            <w:tcW w:type="dxa" w:w="5076"/>
          </w:tcPr>
          <w:p>
            <w:pPr>
              <w:jc w:val="left"/>
            </w:pPr>
            <w:r>
              <w:rPr/>
              <w:t>根据各响应供应商提供的服务响应时间进行评审： 30分钟（含）内到达现场得5分，30分钟（不含）-60分钟（含）内到达现场得3分，60分钟（不含）-120分钟（含）内到达现场得1分，其他不得分。 注：以第三方地图驾车模式的最短路程距离到达指定地点（以采购人办公地点佛山市禅城区华远东路62号为准），须提供服务机构营业执照扫描件或租赁合同扫描件或场地使用证明扫描件和服务点详细地址到采购人指定地点的驾车模式第三方地图截图加盖响应供应商公章作为证明材料，不提供不得分。</w:t>
            </w:r>
          </w:p>
        </w:tc>
      </w:tr>
      <w:tr>
        <w:tc>
          <w:tcPr>
            <w:tcW w:type="dxa" w:w="922"/>
            <w:gridSpan w:val="2"/>
            <w:vMerge/>
          </w:tcPr>
          <w:p/>
        </w:tc>
        <w:tc>
          <w:tcPr>
            <w:tcW w:type="dxa" w:w="2307"/>
          </w:tcPr>
          <w:p>
            <w:pPr>
              <w:jc w:val="left"/>
            </w:pPr>
            <w:r>
              <w:rPr/>
              <w:t>企业荣誉 (10.0分)</w:t>
            </w:r>
          </w:p>
        </w:tc>
        <w:tc>
          <w:tcPr>
            <w:tcW w:type="dxa" w:w="5076"/>
          </w:tcPr>
          <w:p>
            <w:pPr>
              <w:jc w:val="left"/>
            </w:pPr>
            <w:r>
              <w:rPr/>
              <w:t>根据响应供应商获得社会组织主管部门或行业组织授予的荣誉进行评分，每提供一项得2分，最高得10分。  注：须提供证书扫描件加盖响应供应商公章作为证明材料，不提供不得分。</w:t>
            </w:r>
          </w:p>
        </w:tc>
      </w:tr>
      <w:tr>
        <w:tc>
          <w:tcPr>
            <w:tcW w:type="dxa" w:w="922"/>
            <w:gridSpan w:val="2"/>
            <w:vMerge/>
          </w:tcPr>
          <w:p/>
        </w:tc>
        <w:tc>
          <w:tcPr>
            <w:tcW w:type="dxa" w:w="2307"/>
          </w:tcPr>
          <w:p>
            <w:pPr>
              <w:jc w:val="left"/>
            </w:pPr>
            <w:r>
              <w:rPr/>
              <w:t>研究能力 (5.0分)</w:t>
            </w:r>
          </w:p>
        </w:tc>
        <w:tc>
          <w:tcPr>
            <w:tcW w:type="dxa" w:w="5076"/>
          </w:tcPr>
          <w:p>
            <w:pPr>
              <w:jc w:val="left"/>
            </w:pPr>
            <w:r>
              <w:rPr/>
              <w:t>根据响应供应商有参与或承接过社会救助类研究或调查并形成研究报告的，每提供一项得2.5分，最高得5分。 注：须提供调研合同或协议扫描件加盖响应供应商公章作为证明材料，不提供不得分。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rPr>
        <w:t xml:space="preserve"> </w:t>
      </w:r>
    </w:p>
    <w:p>
      <w:pPr>
        <w:jc w:val="center"/>
      </w:pPr>
      <w:r>
        <w:rPr>
          <w:color w:val="000000"/>
          <w:sz w:val="68"/>
        </w:rPr>
        <w:t>佛山市政府采购项目</w:t>
      </w:r>
    </w:p>
    <w:p>
      <w:pPr>
        <w:jc w:val="center"/>
      </w:pPr>
      <w:r>
        <w:rPr/>
        <w:t xml:space="preserve"> </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pPr>
        <w:jc w:val="center"/>
      </w:pPr>
      <w:r>
        <w:rPr/>
        <w:t xml:space="preserve"> </w:t>
      </w:r>
    </w:p>
    <w:p>
      <w:pPr>
        <w:jc w:val="center"/>
      </w:pPr>
      <w:r>
        <w:rPr/>
        <w:t xml:space="preserve"> </w:t>
      </w:r>
    </w:p>
    <w:p>
      <w:pPr>
        <w:jc w:val="center"/>
      </w:pPr>
      <w:r>
        <w:rPr/>
        <w:t xml:space="preserve"> </w:t>
      </w:r>
    </w:p>
    <w:p>
      <w:pPr>
        <w:jc w:val="center"/>
      </w:pPr>
      <w:r>
        <w:rPr/>
        <w:t xml:space="preserve"> </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w:t>
      </w:r>
      <w:r>
        <w:rPr>
          <w:color w:val="000000"/>
          <w:sz w:val="21"/>
        </w:rPr>
        <w:t>竞争性磋商文件</w:t>
      </w:r>
      <w:r>
        <w:rPr>
          <w:color w:val="000000"/>
          <w:sz w:val="21"/>
        </w:rPr>
        <w:t>和投标</w:t>
      </w:r>
      <w:r>
        <w:rPr>
          <w:color w:val="000000"/>
          <w:sz w:val="21"/>
        </w:rPr>
        <w:t>/响应文件执行）</w:t>
      </w:r>
    </w:p>
    <w:p>
      <w:r>
        <w:rPr>
          <w:b/>
          <w:color w:val="000000"/>
          <w:sz w:val="21"/>
        </w:rPr>
        <w:t>二、</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8"/>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8"/>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1.</w:t>
            </w:r>
            <w:r>
              <w:rPr>
                <w:color w:val="000000"/>
                <w:sz w:val="21"/>
              </w:rPr>
              <w:t>合同总额包括但不限于人员工资福利、项目培训和督导经费、行政管理费用、全额含税发票、合同实施过程中的应预见和不可预见费用等。</w:t>
            </w:r>
          </w:p>
          <w:p>
            <w:r>
              <w:rPr>
                <w:color w:val="000000"/>
                <w:sz w:val="21"/>
              </w:rPr>
              <w:t>2.</w:t>
            </w:r>
            <w:r>
              <w:rPr>
                <w:color w:val="000000"/>
                <w:sz w:val="21"/>
              </w:rPr>
              <w:t>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color w:val="000000"/>
                <w:sz w:val="21"/>
              </w:rPr>
              <w:t>佛山市</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合同生效后提供</w:t>
            </w:r>
            <w:r>
              <w:rPr>
                <w:color w:val="000000"/>
                <w:sz w:val="21"/>
              </w:rPr>
              <w:t>___年服务，即从</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本项目分</w:t>
            </w:r>
            <w:r>
              <w:rPr>
                <w:sz w:val="19"/>
                <w:u w:val="single"/>
              </w:rPr>
              <w:t xml:space="preserve">   </w:t>
            </w:r>
            <w:r>
              <w:rPr>
                <w:color w:val="000000"/>
                <w:sz w:val="21"/>
              </w:rPr>
              <w:t>次签订合同，</w:t>
            </w:r>
            <w:r>
              <w:rPr>
                <w:color w:val="000000"/>
                <w:sz w:val="21"/>
              </w:rPr>
              <w:t>每次合同服务期为一年。本次情况如下：</w:t>
            </w:r>
          </w:p>
          <w:p>
            <w:r>
              <w:rPr>
                <w:color w:val="000000"/>
                <w:sz w:val="21"/>
              </w:rPr>
              <w:t>（</w:t>
            </w:r>
            <w:r>
              <w:rPr>
                <w:color w:val="000000"/>
                <w:sz w:val="21"/>
              </w:rPr>
              <w:t>1）本次签订为第</w:t>
            </w:r>
            <w:r>
              <w:rPr>
                <w:sz w:val="19"/>
                <w:u w:val="single"/>
              </w:rPr>
              <w:t xml:space="preserve">   </w:t>
            </w:r>
            <w:r>
              <w:rPr>
                <w:color w:val="000000"/>
                <w:sz w:val="21"/>
              </w:rPr>
              <w:t>次</w:t>
            </w:r>
            <w:r>
              <w:rPr>
                <w:color w:val="000000"/>
                <w:sz w:val="21"/>
              </w:rPr>
              <w:t>；</w:t>
            </w:r>
          </w:p>
          <w:p>
            <w:r>
              <w:rPr>
                <w:color w:val="000000"/>
                <w:sz w:val="21"/>
              </w:rPr>
              <w:t>（</w:t>
            </w:r>
            <w:r>
              <w:rPr>
                <w:color w:val="000000"/>
                <w:sz w:val="21"/>
              </w:rPr>
              <w:t>2）本次合同金额为（大写）：</w:t>
            </w:r>
            <w:r>
              <w:rPr>
                <w:sz w:val="19"/>
                <w:u w:val="single"/>
              </w:rPr>
              <w:t xml:space="preserve">       </w:t>
            </w:r>
            <w:r>
              <w:rPr>
                <w:color w:val="000000"/>
                <w:sz w:val="21"/>
              </w:rPr>
              <w:t>元，</w:t>
            </w:r>
            <w:r>
              <w:rPr>
                <w:color w:val="000000"/>
                <w:sz w:val="21"/>
                <w:u w:val="single"/>
              </w:rPr>
              <w:t>（￥</w:t>
            </w:r>
            <w:r>
              <w:rPr>
                <w:color w:val="000000"/>
                <w:sz w:val="21"/>
                <w:u w:val="single"/>
              </w:rPr>
              <w:t xml:space="preserve">       </w:t>
            </w:r>
            <w:r>
              <w:rPr>
                <w:color w:val="000000"/>
                <w:sz w:val="21"/>
                <w:u w:val="single"/>
              </w:rPr>
              <w:t>元）；</w:t>
            </w:r>
          </w:p>
          <w:p>
            <w:r>
              <w:rPr>
                <w:color w:val="000000"/>
                <w:sz w:val="21"/>
              </w:rPr>
              <w:t>（</w:t>
            </w:r>
            <w:r>
              <w:rPr>
                <w:color w:val="000000"/>
                <w:sz w:val="21"/>
              </w:rPr>
              <w:t>3）本次服务期起止时间：</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jc w:val="left"/>
            </w:pPr>
            <w:r>
              <w:rPr>
                <w:sz w:val="21"/>
              </w:rPr>
              <w:t>1.</w:t>
            </w:r>
            <w:r>
              <w:rPr>
                <w:sz w:val="21"/>
              </w:rPr>
              <w:t>合同生效后，甲方原则上在收到发票后</w:t>
            </w:r>
            <w:r>
              <w:rPr>
                <w:sz w:val="21"/>
              </w:rPr>
              <w:t>10个工作日内，支付合同总额的30%；</w:t>
            </w:r>
          </w:p>
          <w:p>
            <w:pPr>
              <w:jc w:val="left"/>
            </w:pPr>
            <w:r>
              <w:rPr>
                <w:sz w:val="21"/>
              </w:rPr>
              <w:t>2.</w:t>
            </w:r>
            <w:r>
              <w:rPr>
                <w:sz w:val="21"/>
              </w:rPr>
              <w:t>合同周期内满半年，经中期评估，完成整改</w:t>
            </w:r>
            <w:r>
              <w:rPr>
                <w:sz w:val="21"/>
              </w:rPr>
              <w:t>，</w:t>
            </w:r>
            <w:r>
              <w:rPr>
                <w:sz w:val="21"/>
              </w:rPr>
              <w:t>并将服务周期间的资料（个案档案、救助对象数据库、服务运作手册等）电子文档整理提交后</w:t>
            </w:r>
            <w:r>
              <w:rPr>
                <w:sz w:val="21"/>
              </w:rPr>
              <w:t>后的</w:t>
            </w:r>
            <w:r>
              <w:rPr>
                <w:sz w:val="21"/>
              </w:rPr>
              <w:t>5个工作日内</w:t>
            </w:r>
            <w:r>
              <w:rPr>
                <w:sz w:val="21"/>
              </w:rPr>
              <w:t>，支付合同总额的</w:t>
            </w:r>
            <w:r>
              <w:rPr>
                <w:sz w:val="21"/>
              </w:rPr>
              <w:t>30%；</w:t>
            </w:r>
          </w:p>
          <w:p>
            <w:pPr>
              <w:jc w:val="left"/>
            </w:pPr>
            <w:r>
              <w:rPr>
                <w:sz w:val="21"/>
              </w:rPr>
              <w:t>1.</w:t>
            </w:r>
            <w:r>
              <w:rPr>
                <w:sz w:val="21"/>
              </w:rPr>
              <w:t>合同周期内满</w:t>
            </w:r>
            <w:r>
              <w:rPr>
                <w:sz w:val="21"/>
              </w:rPr>
              <w:t>8</w:t>
            </w:r>
            <w:r>
              <w:rPr>
                <w:sz w:val="21"/>
              </w:rPr>
              <w:t>个月后</w:t>
            </w:r>
            <w:r>
              <w:rPr>
                <w:sz w:val="21"/>
              </w:rPr>
              <w:t>5个工作日</w:t>
            </w:r>
            <w:r>
              <w:rPr>
                <w:sz w:val="21"/>
              </w:rPr>
              <w:t>内</w:t>
            </w:r>
            <w:r>
              <w:rPr>
                <w:sz w:val="21"/>
              </w:rPr>
              <w:t>，支付合同总额的</w:t>
            </w:r>
            <w:r>
              <w:rPr>
                <w:sz w:val="21"/>
              </w:rPr>
              <w:t>30%；</w:t>
            </w:r>
          </w:p>
          <w:p>
            <w:pPr>
              <w:jc w:val="left"/>
            </w:pPr>
            <w:r>
              <w:rPr>
                <w:sz w:val="21"/>
              </w:rPr>
              <w:t>合同周期结束，经末期评估，完成整改，并将服务周期间的资料（个案档案、救助对象数据库、服务运作手册、经验提炼总结等）电子文档完整提交后的</w:t>
            </w:r>
            <w:r>
              <w:rPr>
                <w:sz w:val="21"/>
              </w:rPr>
              <w:t>5个工作日内支付合同总额的10%。</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乙方须向甲方提供依法纳税的服务费发票。</w:t>
            </w:r>
          </w:p>
          <w:p>
            <w:pPr>
              <w:jc w:val="left"/>
            </w:pPr>
            <w:r>
              <w:rPr>
                <w:color w:val="000000"/>
                <w:sz w:val="21"/>
              </w:rPr>
              <w:t>2.</w:t>
            </w:r>
            <w:r>
              <w:rPr>
                <w:color w:val="000000"/>
                <w:sz w:val="21"/>
              </w:rPr>
              <w:t>服务费以转账方式转入乙方的银行账户。</w:t>
            </w:r>
          </w:p>
          <w:p>
            <w:pPr>
              <w:jc w:val="left"/>
            </w:pPr>
            <w:r>
              <w:rPr>
                <w:color w:val="000000"/>
                <w:sz w:val="21"/>
              </w:rPr>
              <w:t>3.</w:t>
            </w:r>
            <w:r>
              <w:rPr>
                <w:color w:val="000000"/>
                <w:sz w:val="21"/>
              </w:rPr>
              <w:t>收款方、出具发票方、合同乙方均必须与</w:t>
            </w:r>
            <w:r>
              <w:rPr>
                <w:color w:val="000000"/>
                <w:sz w:val="21"/>
              </w:rPr>
              <w:t>成交供应商</w:t>
            </w:r>
            <w:r>
              <w:rPr>
                <w:color w:val="000000"/>
                <w:sz w:val="21"/>
              </w:rPr>
              <w:t>名称一致。</w:t>
            </w:r>
          </w:p>
          <w:p>
            <w:pPr>
              <w:jc w:val="left"/>
            </w:pPr>
            <w:r>
              <w:rPr>
                <w:sz w:val="21"/>
              </w:rPr>
              <w:t>4.</w:t>
            </w:r>
            <w:r>
              <w:rPr>
                <w:sz w:val="21"/>
              </w:rPr>
              <w:t>因</w:t>
            </w:r>
            <w:r>
              <w:rPr>
                <w:sz w:val="21"/>
              </w:rPr>
              <w:t>甲方</w:t>
            </w:r>
            <w:r>
              <w:rPr>
                <w:sz w:val="21"/>
              </w:rPr>
              <w:t>使用的是财政资金，</w:t>
            </w:r>
            <w:r>
              <w:rPr>
                <w:sz w:val="21"/>
              </w:rPr>
              <w:t>均须由乙方提供发票后，</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项目验收依次序对照执行标准</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符合禅城区社会工作服务相关政策要求；</w:t>
            </w:r>
          </w:p>
          <w:p>
            <w:pPr>
              <w:jc w:val="left"/>
            </w:pPr>
            <w:r>
              <w:rPr>
                <w:color w:val="000000"/>
                <w:sz w:val="21"/>
              </w:rPr>
              <w:t>2.</w:t>
            </w:r>
            <w:r>
              <w:rPr>
                <w:color w:val="000000"/>
                <w:sz w:val="21"/>
              </w:rPr>
              <w:t>符合《关于印发禅城区社会工作服务项目绩效评估实施办法的通知》（佛禅府办函〔</w:t>
            </w:r>
            <w:r>
              <w:rPr>
                <w:color w:val="000000"/>
                <w:sz w:val="21"/>
              </w:rPr>
              <w:t>2015〕65号）的评估要求；</w:t>
            </w:r>
          </w:p>
          <w:p>
            <w:pPr>
              <w:jc w:val="left"/>
            </w:pPr>
            <w:r>
              <w:rPr>
                <w:color w:val="000000"/>
                <w:sz w:val="21"/>
              </w:rPr>
              <w:t>3.</w:t>
            </w:r>
            <w:r>
              <w:rPr>
                <w:color w:val="000000"/>
                <w:sz w:val="21"/>
              </w:rPr>
              <w:t>上述各类标准与法规必须是有关官方机构最新发布的现行标准版本。</w:t>
            </w:r>
          </w:p>
        </w:tc>
      </w:tr>
    </w:tbl>
    <w:p>
      <w:r>
        <w:rPr>
          <w:b/>
          <w:color w:val="000000"/>
          <w:sz w:val="21"/>
        </w:rPr>
        <w:t>三、</w:t>
      </w:r>
      <w:r>
        <w:rPr>
          <w:b/>
          <w:color w:val="000000"/>
          <w:sz w:val="21"/>
        </w:rPr>
        <w:t>项目服务内容</w:t>
      </w:r>
    </w:p>
    <w:p>
      <w:r>
        <w:rPr>
          <w:b/>
          <w:sz w:val="21"/>
        </w:rPr>
        <w:t>（</w:t>
      </w:r>
      <w:r>
        <w:rPr>
          <w:b/>
          <w:sz w:val="21"/>
        </w:rPr>
        <w:t>一）</w:t>
      </w:r>
      <w:r>
        <w:rPr>
          <w:b/>
          <w:sz w:val="21"/>
        </w:rPr>
        <w:t>服务对象</w:t>
      </w:r>
    </w:p>
    <w:p>
      <w:pPr>
        <w:jc w:val="both"/>
      </w:pPr>
      <w:r>
        <w:rPr>
          <w:color w:val="000000"/>
          <w:sz w:val="21"/>
        </w:rPr>
        <w:t>1.</w:t>
      </w:r>
      <w:r>
        <w:rPr>
          <w:color w:val="000000"/>
          <w:sz w:val="21"/>
        </w:rPr>
        <w:t>基础服务对象：佛山市禅城区低保、临界低保、三无、五保等困难群众，约</w:t>
      </w:r>
      <w:r>
        <w:rPr>
          <w:color w:val="000000"/>
          <w:sz w:val="21"/>
        </w:rPr>
        <w:t>1300人（约700户）。</w:t>
      </w:r>
    </w:p>
    <w:p>
      <w:pPr>
        <w:jc w:val="both"/>
      </w:pPr>
      <w:r>
        <w:rPr>
          <w:color w:val="000000"/>
          <w:sz w:val="21"/>
        </w:rPr>
        <w:t>2.</w:t>
      </w:r>
      <w:r>
        <w:rPr>
          <w:color w:val="000000"/>
          <w:sz w:val="21"/>
        </w:rPr>
        <w:t>重点服务对象：禅城区特困供养（分散供养约</w:t>
      </w:r>
      <w:r>
        <w:rPr>
          <w:color w:val="000000"/>
          <w:sz w:val="21"/>
        </w:rPr>
        <w:t>110户）、临灾需转移民政服务对象（20人）、流浪乞讨人员120人次（按实际情况）等特殊人群。</w:t>
      </w:r>
    </w:p>
    <w:p>
      <w:r>
        <w:rPr>
          <w:b/>
          <w:sz w:val="21"/>
        </w:rPr>
        <w:t>（</w:t>
      </w:r>
      <w:r>
        <w:rPr>
          <w:b/>
          <w:sz w:val="21"/>
        </w:rPr>
        <w:t>二）</w:t>
      </w:r>
      <w:r>
        <w:rPr>
          <w:b/>
          <w:sz w:val="21"/>
        </w:rPr>
        <w:t>服务内容</w:t>
      </w:r>
    </w:p>
    <w:p>
      <w:pPr>
        <w:jc w:val="both"/>
      </w:pPr>
      <w:r>
        <w:rPr>
          <w:color w:val="000000"/>
          <w:sz w:val="21"/>
        </w:rPr>
        <w:t>1.</w:t>
      </w:r>
      <w:r>
        <w:rPr>
          <w:color w:val="000000"/>
          <w:sz w:val="21"/>
        </w:rPr>
        <w:t>基础服务：对服务对象进行档案管理（每年至少进行一次现况更新），辅助监督，开展服务需求分析。</w:t>
      </w:r>
    </w:p>
    <w:p>
      <w:pPr>
        <w:jc w:val="both"/>
      </w:pPr>
      <w:r>
        <w:rPr>
          <w:color w:val="000000"/>
          <w:sz w:val="21"/>
        </w:rPr>
        <w:t>2.</w:t>
      </w:r>
      <w:r>
        <w:rPr>
          <w:color w:val="000000"/>
          <w:sz w:val="21"/>
        </w:rPr>
        <w:t>精准服务：（</w:t>
      </w:r>
      <w:r>
        <w:rPr>
          <w:color w:val="000000"/>
          <w:sz w:val="21"/>
        </w:rPr>
        <w:t>1）分散供养的特困供养人员：开展入户探访服务，从服务对象的年龄、健康状况、自理能力、政策支持与社会支持五维度进行情况了解与需求分析，对服务对象的心理情绪状态进行动态掌控，针对不同的群体特征提供不同的专业服务，例如探访跟进服务、特殊群体建档、辅助监督、链接资源、个案服务介入等。（2）临灾需转移民政服务对象：动态掌握临灾转移人员的环境情况，及时根据政府发布的特殊天气或者突发公共事件预警，为临灾转移人员提供信息资讯传达，协助政府部门做好相关的安置服务。（3）流浪乞讨人员：定期外展，对流浪乞讨人员进行街面巡查劝导，政策宣传，告知引导，协助政府部门发放救助物资等。</w:t>
      </w:r>
    </w:p>
    <w:p>
      <w:pPr>
        <w:jc w:val="both"/>
      </w:pPr>
      <w:r>
        <w:rPr>
          <w:color w:val="000000"/>
          <w:sz w:val="21"/>
        </w:rPr>
        <w:t>3.</w:t>
      </w:r>
      <w:r>
        <w:rPr>
          <w:color w:val="000000"/>
          <w:sz w:val="21"/>
        </w:rPr>
        <w:t>其他服务：协助完成社会救助股指定的其他工作任务。</w:t>
      </w:r>
    </w:p>
    <w:p>
      <w:r>
        <w:rPr>
          <w:b/>
          <w:color w:val="000000"/>
          <w:sz w:val="21"/>
        </w:rPr>
        <w:t>四、</w:t>
      </w:r>
      <w:r>
        <w:rPr>
          <w:b/>
          <w:color w:val="000000"/>
          <w:sz w:val="21"/>
        </w:rPr>
        <w:t>服务目标分解和细化（每年）</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81"/>
        <w:gridCol w:w="2362"/>
        <w:gridCol w:w="1695"/>
        <w:gridCol w:w="3068"/>
      </w:tblGrid>
      <w:tr>
        <w:tc>
          <w:tcPr>
            <w:tcW w:type="dxa" w:w="1181"/>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2362"/>
            <w:tcBorders>
              <w:top w:val="single" w:color="000000" w:sz="4"/>
              <w:left w:val="single" w:color="000000" w:sz="4"/>
              <w:bottom w:val="single" w:color="000000" w:sz="4"/>
              <w:right w:val="single" w:color="000000" w:sz="4"/>
            </w:tcBorders>
            <w:vAlign w:val="top"/>
          </w:tcPr>
          <w:p>
            <w:pPr>
              <w:jc w:val="center"/>
            </w:pPr>
            <w:r>
              <w:rPr>
                <w:b/>
                <w:sz w:val="21"/>
              </w:rPr>
              <w:t>项目分类</w:t>
            </w:r>
          </w:p>
        </w:tc>
        <w:tc>
          <w:tcPr>
            <w:tcW w:type="dxa" w:w="1695"/>
            <w:tcBorders>
              <w:top w:val="single" w:color="000000" w:sz="4"/>
              <w:left w:val="single" w:color="000000" w:sz="4"/>
              <w:bottom w:val="single" w:color="000000" w:sz="4"/>
              <w:right w:val="single" w:color="000000" w:sz="4"/>
            </w:tcBorders>
            <w:vAlign w:val="top"/>
          </w:tcPr>
          <w:p>
            <w:pPr>
              <w:jc w:val="center"/>
            </w:pPr>
            <w:r>
              <w:rPr>
                <w:b/>
                <w:sz w:val="21"/>
              </w:rPr>
              <w:t>评估指标</w:t>
            </w:r>
          </w:p>
        </w:tc>
        <w:tc>
          <w:tcPr>
            <w:tcW w:type="dxa" w:w="3068"/>
            <w:tcBorders>
              <w:top w:val="single" w:color="000000" w:sz="4"/>
              <w:left w:val="single" w:color="000000" w:sz="4"/>
              <w:bottom w:val="single" w:color="000000" w:sz="4"/>
              <w:right w:val="single" w:color="000000" w:sz="4"/>
            </w:tcBorders>
            <w:vAlign w:val="top"/>
          </w:tcPr>
          <w:p>
            <w:pPr>
              <w:jc w:val="center"/>
            </w:pPr>
            <w:r>
              <w:rPr>
                <w:b/>
                <w:sz w:val="21"/>
              </w:rPr>
              <w:t>量化标准</w:t>
            </w:r>
          </w:p>
        </w:tc>
      </w:tr>
      <w:tr>
        <w:tc>
          <w:tcPr>
            <w:tcW w:type="dxa" w:w="1181"/>
            <w:vMerge w:val="restart"/>
            <w:tcBorders>
              <w:top w:val="none" w:color="000000" w:sz="4"/>
              <w:left w:val="single" w:color="000000" w:sz="4"/>
              <w:bottom w:val="single" w:color="000000" w:sz="4"/>
              <w:right w:val="single" w:color="000000" w:sz="4"/>
            </w:tcBorders>
            <w:vAlign w:val="top"/>
          </w:tcPr>
          <w:p>
            <w:pPr>
              <w:jc w:val="center"/>
            </w:pPr>
            <w:r>
              <w:rPr>
                <w:sz w:val="21"/>
              </w:rPr>
              <w:t>精准化日常服务</w:t>
            </w:r>
          </w:p>
        </w:tc>
        <w:tc>
          <w:tcPr>
            <w:tcW w:type="dxa" w:w="2362"/>
            <w:tcBorders>
              <w:top w:val="none" w:color="000000" w:sz="4"/>
              <w:left w:val="single" w:color="000000" w:sz="4"/>
              <w:bottom w:val="single" w:color="000000" w:sz="4"/>
              <w:right w:val="single" w:color="000000" w:sz="4"/>
            </w:tcBorders>
            <w:vAlign w:val="top"/>
          </w:tcPr>
          <w:p>
            <w:pPr>
              <w:jc w:val="center"/>
            </w:pPr>
            <w:r>
              <w:rPr>
                <w:sz w:val="21"/>
              </w:rPr>
              <w:t>精准摸查及建档</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建档数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重点人员巡查、劝导</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户数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流浪乞讨人员约</w:t>
            </w:r>
            <w:r>
              <w:rPr>
                <w:sz w:val="21"/>
              </w:rPr>
              <w:t>120人次/年</w:t>
            </w:r>
            <w:r>
              <w:rPr>
                <w:sz w:val="21"/>
              </w:rPr>
              <w:t>（按实际情况）</w:t>
            </w:r>
            <w:r>
              <w:rPr>
                <w:sz w:val="21"/>
              </w:rPr>
              <w:t>，临灾需转移人员</w:t>
            </w:r>
            <w:r>
              <w:rPr>
                <w:sz w:val="21"/>
              </w:rPr>
              <w:t>20人，每年约5次需转移</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重点人群恒常关顾</w:t>
            </w:r>
          </w:p>
          <w:p>
            <w:pPr>
              <w:jc w:val="center"/>
            </w:pPr>
            <w:r>
              <w:rPr>
                <w:sz w:val="21"/>
              </w:rPr>
              <w:t>（入户</w:t>
            </w:r>
            <w:r>
              <w:rPr>
                <w:sz w:val="21"/>
              </w:rPr>
              <w:t>/电话探访）</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户数</w:t>
            </w:r>
            <w:r>
              <w:rPr>
                <w:sz w:val="21"/>
              </w:rPr>
              <w:t>×24</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关顾频率不低于每月</w:t>
            </w:r>
            <w:r>
              <w:rPr>
                <w:sz w:val="21"/>
              </w:rPr>
              <w:t>2次</w:t>
            </w:r>
          </w:p>
          <w:p>
            <w:pPr>
              <w:jc w:val="center"/>
            </w:pPr>
            <w:r>
              <w:rPr>
                <w:sz w:val="21"/>
              </w:rPr>
              <w:t>（按</w:t>
            </w:r>
            <w:r>
              <w:rPr>
                <w:sz w:val="21"/>
              </w:rPr>
              <w:t>110户特困家庭测算，全年要2640次）</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动态关顾</w:t>
            </w:r>
          </w:p>
          <w:p>
            <w:pPr>
              <w:jc w:val="center"/>
            </w:pPr>
            <w:r>
              <w:rPr>
                <w:sz w:val="21"/>
              </w:rPr>
              <w:t>（入户探访）</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户数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每户每年不少于</w:t>
            </w:r>
            <w:r>
              <w:rPr>
                <w:sz w:val="21"/>
              </w:rPr>
              <w:t>1次</w:t>
            </w:r>
          </w:p>
          <w:p>
            <w:pPr>
              <w:jc w:val="center"/>
            </w:pPr>
            <w:r>
              <w:rPr>
                <w:sz w:val="21"/>
              </w:rPr>
              <w:t>（按</w:t>
            </w:r>
            <w:r>
              <w:rPr>
                <w:sz w:val="21"/>
                <w:u w:val="single"/>
              </w:rPr>
              <w:t>700</w:t>
            </w:r>
            <w:r>
              <w:rPr>
                <w:sz w:val="21"/>
              </w:rPr>
              <w:t>户测算，全年要</w:t>
            </w:r>
            <w:r>
              <w:rPr>
                <w:sz w:val="21"/>
              </w:rPr>
              <w:t>700次）</w:t>
            </w:r>
          </w:p>
        </w:tc>
      </w:tr>
      <w:tr>
        <w:tc>
          <w:tcPr>
            <w:tcW w:type="dxa" w:w="1181"/>
            <w:vMerge w:val="restart"/>
            <w:tcBorders>
              <w:top w:val="none" w:color="000000" w:sz="4"/>
              <w:left w:val="single" w:color="000000" w:sz="4"/>
              <w:bottom w:val="single" w:color="000000" w:sz="4"/>
              <w:right w:val="single" w:color="000000" w:sz="4"/>
            </w:tcBorders>
            <w:vAlign w:val="top"/>
          </w:tcPr>
          <w:p>
            <w:pPr>
              <w:jc w:val="center"/>
            </w:pPr>
            <w:r>
              <w:rPr>
                <w:sz w:val="21"/>
              </w:rPr>
              <w:t>个案介入</w:t>
            </w:r>
          </w:p>
        </w:tc>
        <w:tc>
          <w:tcPr>
            <w:tcW w:type="dxa" w:w="2362"/>
            <w:vMerge w:val="restart"/>
            <w:tcBorders>
              <w:top w:val="none" w:color="000000" w:sz="4"/>
              <w:left w:val="single" w:color="000000" w:sz="4"/>
              <w:bottom w:val="single" w:color="000000" w:sz="4"/>
              <w:right w:val="single" w:color="000000" w:sz="4"/>
            </w:tcBorders>
            <w:vAlign w:val="top"/>
          </w:tcPr>
          <w:p>
            <w:pPr>
              <w:jc w:val="center"/>
            </w:pPr>
            <w:r>
              <w:rPr>
                <w:sz w:val="21"/>
              </w:rPr>
              <w:t>个案管理</w:t>
            </w:r>
          </w:p>
          <w:p>
            <w:pPr>
              <w:jc w:val="center"/>
            </w:pPr>
            <w:r>
              <w:rPr>
                <w:sz w:val="21"/>
              </w:rPr>
              <w:t>（重点人群）</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个案辅导数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1181"/>
            <w:vMerge/>
            <w:tcBorders>
              <w:top w:val="none" w:color="000000" w:sz="4"/>
              <w:left w:val="single" w:color="000000" w:sz="4"/>
              <w:bottom w:val="single" w:color="000000" w:sz="4"/>
              <w:right w:val="single" w:color="000000" w:sz="4"/>
            </w:tcBorders>
          </w:tcPr>
          <w:p/>
        </w:tc>
        <w:tc>
          <w:tcPr>
            <w:tcW w:type="dxa" w:w="2362"/>
            <w:vMerge/>
            <w:tcBorders>
              <w:top w:val="none" w:color="000000" w:sz="4"/>
              <w:left w:val="single" w:color="000000" w:sz="4"/>
              <w:bottom w:val="single" w:color="000000" w:sz="4"/>
              <w:right w:val="single" w:color="000000" w:sz="4"/>
            </w:tcBorders>
          </w:tcP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个案建档率</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1181"/>
            <w:vMerge/>
            <w:tcBorders>
              <w:top w:val="none" w:color="000000" w:sz="4"/>
              <w:left w:val="single" w:color="000000" w:sz="4"/>
              <w:bottom w:val="single" w:color="000000" w:sz="4"/>
              <w:right w:val="single" w:color="000000" w:sz="4"/>
            </w:tcBorders>
          </w:tcPr>
          <w:p/>
        </w:tc>
        <w:tc>
          <w:tcPr>
            <w:tcW w:type="dxa" w:w="2362"/>
            <w:vMerge w:val="restart"/>
            <w:tcBorders>
              <w:top w:val="none" w:color="000000" w:sz="4"/>
              <w:left w:val="single" w:color="000000" w:sz="4"/>
              <w:bottom w:val="single" w:color="000000" w:sz="4"/>
              <w:right w:val="single" w:color="000000" w:sz="4"/>
            </w:tcBorders>
            <w:vAlign w:val="top"/>
          </w:tcPr>
          <w:p>
            <w:pPr>
              <w:jc w:val="center"/>
            </w:pPr>
            <w:r>
              <w:rPr>
                <w:sz w:val="21"/>
              </w:rPr>
              <w:t>危机个案</w:t>
            </w:r>
          </w:p>
          <w:p>
            <w:pPr>
              <w:jc w:val="center"/>
            </w:pPr>
            <w:r>
              <w:rPr>
                <w:sz w:val="21"/>
              </w:rPr>
              <w:t>（偶发性个案）</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个案辅导数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以实际情况为准</w:t>
            </w:r>
          </w:p>
        </w:tc>
      </w:tr>
      <w:tr>
        <w:tc>
          <w:tcPr>
            <w:tcW w:type="dxa" w:w="1181"/>
            <w:vMerge/>
            <w:tcBorders>
              <w:top w:val="none" w:color="000000" w:sz="4"/>
              <w:left w:val="single" w:color="000000" w:sz="4"/>
              <w:bottom w:val="single" w:color="000000" w:sz="4"/>
              <w:right w:val="single" w:color="000000" w:sz="4"/>
            </w:tcBorders>
          </w:tcPr>
          <w:p/>
        </w:tc>
        <w:tc>
          <w:tcPr>
            <w:tcW w:type="dxa" w:w="2362"/>
            <w:vMerge/>
            <w:tcBorders>
              <w:top w:val="none" w:color="000000" w:sz="4"/>
              <w:left w:val="single" w:color="000000" w:sz="4"/>
              <w:bottom w:val="single" w:color="000000" w:sz="4"/>
              <w:right w:val="single" w:color="000000" w:sz="4"/>
            </w:tcBorders>
          </w:tcP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个案介入率</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1181"/>
            <w:vMerge/>
            <w:tcBorders>
              <w:top w:val="none" w:color="000000" w:sz="4"/>
              <w:left w:val="single" w:color="000000" w:sz="4"/>
              <w:bottom w:val="single" w:color="000000" w:sz="4"/>
              <w:right w:val="single" w:color="000000" w:sz="4"/>
            </w:tcBorders>
          </w:tcPr>
          <w:p/>
        </w:tc>
        <w:tc>
          <w:tcPr>
            <w:tcW w:type="dxa" w:w="2362"/>
            <w:vMerge/>
            <w:tcBorders>
              <w:top w:val="none" w:color="000000" w:sz="4"/>
              <w:left w:val="single" w:color="000000" w:sz="4"/>
              <w:bottom w:val="single" w:color="000000" w:sz="4"/>
              <w:right w:val="single" w:color="000000" w:sz="4"/>
            </w:tcBorders>
          </w:tcPr>
          <w:p/>
        </w:tc>
        <w:tc>
          <w:tcPr>
            <w:tcW w:type="dxa" w:w="1695"/>
            <w:tcBorders>
              <w:top w:val="none" w:color="000000" w:sz="4"/>
              <w:left w:val="single" w:color="000000" w:sz="4"/>
              <w:bottom w:val="single" w:color="000000" w:sz="4"/>
              <w:right w:val="single" w:color="000000" w:sz="4"/>
            </w:tcBorders>
            <w:vAlign w:val="top"/>
          </w:tcPr>
          <w:p>
            <w:pPr>
              <w:jc w:val="center"/>
            </w:pPr>
            <w:r>
              <w:rPr>
                <w:sz w:val="21"/>
              </w:rPr>
              <w:t>年度结案数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不低于</w:t>
            </w:r>
            <w:r>
              <w:rPr>
                <w:sz w:val="21"/>
              </w:rPr>
              <w:t>80%</w:t>
            </w:r>
          </w:p>
        </w:tc>
      </w:tr>
      <w:tr>
        <w:tc>
          <w:tcPr>
            <w:tcW w:type="dxa" w:w="1181"/>
            <w:vMerge w:val="restart"/>
            <w:tcBorders>
              <w:top w:val="none" w:color="000000" w:sz="4"/>
              <w:left w:val="single" w:color="000000" w:sz="4"/>
              <w:bottom w:val="single" w:color="000000" w:sz="4"/>
              <w:right w:val="single" w:color="000000" w:sz="4"/>
            </w:tcBorders>
            <w:vAlign w:val="top"/>
          </w:tcPr>
          <w:p>
            <w:pPr>
              <w:jc w:val="center"/>
            </w:pPr>
            <w:r>
              <w:rPr>
                <w:sz w:val="21"/>
              </w:rPr>
              <w:t>经验提炼</w:t>
            </w:r>
          </w:p>
        </w:tc>
        <w:tc>
          <w:tcPr>
            <w:tcW w:type="dxa" w:w="2362"/>
            <w:tcBorders>
              <w:top w:val="none" w:color="000000" w:sz="4"/>
              <w:left w:val="single" w:color="000000" w:sz="4"/>
              <w:bottom w:val="single" w:color="000000" w:sz="4"/>
              <w:right w:val="single" w:color="000000" w:sz="4"/>
            </w:tcBorders>
            <w:vAlign w:val="top"/>
          </w:tcPr>
          <w:p>
            <w:pPr>
              <w:jc w:val="center"/>
            </w:pPr>
            <w:r>
              <w:rPr>
                <w:sz w:val="21"/>
              </w:rPr>
              <w:t>品牌服务内容</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服务运作手册</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份数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典型案例</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个数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1181"/>
            <w:vMerge w:val="restart"/>
            <w:tcBorders>
              <w:top w:val="none" w:color="000000" w:sz="4"/>
              <w:left w:val="single" w:color="000000" w:sz="4"/>
              <w:bottom w:val="single" w:color="000000" w:sz="4"/>
              <w:right w:val="single" w:color="000000" w:sz="4"/>
            </w:tcBorders>
            <w:vAlign w:val="top"/>
          </w:tcPr>
          <w:p>
            <w:pPr>
              <w:jc w:val="center"/>
            </w:pPr>
            <w:r>
              <w:rPr>
                <w:sz w:val="21"/>
              </w:rPr>
              <w:t>专业支持</w:t>
            </w:r>
          </w:p>
        </w:tc>
        <w:tc>
          <w:tcPr>
            <w:tcW w:type="dxa" w:w="2362"/>
            <w:tcBorders>
              <w:top w:val="none" w:color="000000" w:sz="4"/>
              <w:left w:val="single" w:color="000000" w:sz="4"/>
              <w:bottom w:val="single" w:color="000000" w:sz="4"/>
              <w:right w:val="single" w:color="000000" w:sz="4"/>
            </w:tcBorders>
            <w:vAlign w:val="top"/>
          </w:tcPr>
          <w:p>
            <w:pPr>
              <w:jc w:val="center"/>
            </w:pPr>
            <w:r>
              <w:rPr>
                <w:sz w:val="21"/>
              </w:rPr>
              <w:t>督导支持</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次数，每次不低于</w:t>
            </w:r>
            <w:r>
              <w:rPr>
                <w:sz w:val="21"/>
              </w:rPr>
              <w:t>6小时</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12</w:t>
            </w:r>
          </w:p>
        </w:tc>
      </w:tr>
      <w:tr>
        <w:tc>
          <w:tcPr>
            <w:tcW w:type="dxa" w:w="1181"/>
            <w:vMerge/>
            <w:tcBorders>
              <w:top w:val="none" w:color="000000" w:sz="4"/>
              <w:left w:val="single" w:color="000000" w:sz="4"/>
              <w:bottom w:val="single" w:color="000000" w:sz="4"/>
              <w:right w:val="single" w:color="000000" w:sz="4"/>
            </w:tcBorders>
          </w:tcPr>
          <w:p/>
        </w:tc>
        <w:tc>
          <w:tcPr>
            <w:tcW w:type="dxa" w:w="2362"/>
            <w:tcBorders>
              <w:top w:val="none" w:color="000000" w:sz="4"/>
              <w:left w:val="single" w:color="000000" w:sz="4"/>
              <w:bottom w:val="single" w:color="000000" w:sz="4"/>
              <w:right w:val="single" w:color="000000" w:sz="4"/>
            </w:tcBorders>
            <w:vAlign w:val="top"/>
          </w:tcPr>
          <w:p>
            <w:pPr>
              <w:jc w:val="center"/>
            </w:pPr>
            <w:r>
              <w:rPr>
                <w:sz w:val="21"/>
              </w:rPr>
              <w:t>专题培训</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次数</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1181"/>
            <w:tcBorders>
              <w:top w:val="none" w:color="000000" w:sz="4"/>
              <w:left w:val="single" w:color="000000" w:sz="4"/>
              <w:bottom w:val="single" w:color="000000" w:sz="4"/>
              <w:right w:val="single" w:color="000000" w:sz="4"/>
            </w:tcBorders>
            <w:vAlign w:val="top"/>
          </w:tcPr>
          <w:p>
            <w:pPr>
              <w:jc w:val="center"/>
            </w:pPr>
            <w:r>
              <w:rPr>
                <w:sz w:val="21"/>
              </w:rPr>
              <w:t>服务对象满意度调查</w:t>
            </w:r>
          </w:p>
        </w:tc>
        <w:tc>
          <w:tcPr>
            <w:tcW w:type="dxa" w:w="2362"/>
            <w:tcBorders>
              <w:top w:val="none" w:color="000000" w:sz="4"/>
              <w:left w:val="single" w:color="000000" w:sz="4"/>
              <w:bottom w:val="single" w:color="000000" w:sz="4"/>
              <w:right w:val="single" w:color="000000" w:sz="4"/>
            </w:tcBorders>
            <w:vAlign w:val="top"/>
          </w:tcPr>
          <w:p>
            <w:pPr>
              <w:jc w:val="center"/>
            </w:pPr>
            <w:r>
              <w:rPr>
                <w:sz w:val="21"/>
              </w:rPr>
              <w:t>调查问卷</w:t>
            </w:r>
          </w:p>
        </w:tc>
        <w:tc>
          <w:tcPr>
            <w:tcW w:type="dxa" w:w="1695"/>
            <w:tcBorders>
              <w:top w:val="none" w:color="000000" w:sz="4"/>
              <w:left w:val="single" w:color="000000" w:sz="4"/>
              <w:bottom w:val="single" w:color="000000" w:sz="4"/>
              <w:right w:val="single" w:color="000000" w:sz="4"/>
            </w:tcBorders>
            <w:vAlign w:val="top"/>
          </w:tcPr>
          <w:p>
            <w:pPr>
              <w:jc w:val="center"/>
            </w:pPr>
            <w:r>
              <w:rPr>
                <w:sz w:val="21"/>
              </w:rPr>
              <w:t>1次</w:t>
            </w:r>
          </w:p>
        </w:tc>
        <w:tc>
          <w:tcPr>
            <w:tcW w:type="dxa" w:w="3068"/>
            <w:tcBorders>
              <w:top w:val="none" w:color="000000" w:sz="4"/>
              <w:left w:val="single" w:color="000000" w:sz="4"/>
              <w:bottom w:val="single" w:color="000000" w:sz="4"/>
              <w:right w:val="single" w:color="000000" w:sz="4"/>
            </w:tcBorders>
            <w:vAlign w:val="top"/>
          </w:tcPr>
          <w:p>
            <w:pPr>
              <w:jc w:val="center"/>
            </w:pPr>
            <w:r>
              <w:rPr>
                <w:sz w:val="21"/>
              </w:rPr>
              <w:t>抽取服务对象的</w:t>
            </w:r>
            <w:r>
              <w:rPr>
                <w:sz w:val="21"/>
              </w:rPr>
              <w:t>10%进行问卷</w:t>
            </w:r>
          </w:p>
        </w:tc>
      </w:tr>
    </w:tbl>
    <w:p>
      <w:r>
        <w:rPr>
          <w:b/>
          <w:sz w:val="21"/>
        </w:rPr>
        <w:t>1.</w:t>
      </w:r>
      <w:r>
        <w:rPr>
          <w:b/>
          <w:sz w:val="21"/>
        </w:rPr>
        <w:t>服务产出：</w:t>
      </w:r>
      <w:r>
        <w:rPr>
          <w:sz w:val="21"/>
        </w:rPr>
        <w:t>通过本服务达到促进</w:t>
      </w:r>
      <w:r>
        <w:rPr>
          <w:sz w:val="21"/>
        </w:rPr>
        <w:t>救助</w:t>
      </w:r>
      <w:r>
        <w:rPr>
          <w:sz w:val="21"/>
        </w:rPr>
        <w:t>对象服务质量和不同专业背景工作者及村（居委）专职人员的合作，为低保对象提供细心</w:t>
      </w:r>
      <w:r>
        <w:rPr>
          <w:sz w:val="21"/>
        </w:rPr>
        <w:t>、</w:t>
      </w:r>
      <w:r>
        <w:rPr>
          <w:sz w:val="21"/>
        </w:rPr>
        <w:t>贴心</w:t>
      </w:r>
      <w:r>
        <w:rPr>
          <w:sz w:val="21"/>
        </w:rPr>
        <w:t>、</w:t>
      </w:r>
      <w:r>
        <w:rPr>
          <w:sz w:val="21"/>
        </w:rPr>
        <w:t>温馨的服务，满足</w:t>
      </w:r>
      <w:r>
        <w:rPr>
          <w:sz w:val="21"/>
        </w:rPr>
        <w:t>救助</w:t>
      </w:r>
      <w:r>
        <w:rPr>
          <w:sz w:val="21"/>
        </w:rPr>
        <w:t>对象对服务多方面需求的目标。</w:t>
      </w:r>
    </w:p>
    <w:p>
      <w:r>
        <w:rPr>
          <w:b/>
          <w:sz w:val="21"/>
        </w:rPr>
        <w:t>2.</w:t>
      </w:r>
      <w:r>
        <w:rPr>
          <w:b/>
          <w:sz w:val="21"/>
        </w:rPr>
        <w:t>服务时数要求：</w:t>
      </w:r>
      <w:r>
        <w:rPr>
          <w:sz w:val="21"/>
        </w:rPr>
        <w:t>禅城区</w:t>
      </w:r>
      <w:r>
        <w:rPr>
          <w:sz w:val="21"/>
        </w:rPr>
        <w:t>社会救助社工服务</w:t>
      </w:r>
      <w:r>
        <w:rPr>
          <w:sz w:val="21"/>
        </w:rPr>
        <w:t>项目包括五大服务内容，配置</w:t>
      </w:r>
      <w:r>
        <w:rPr>
          <w:sz w:val="21"/>
        </w:rPr>
        <w:t>5</w:t>
      </w:r>
      <w:r>
        <w:rPr>
          <w:sz w:val="21"/>
        </w:rPr>
        <w:t>名</w:t>
      </w:r>
      <w:r>
        <w:rPr>
          <w:sz w:val="21"/>
        </w:rPr>
        <w:t>专职社会救助</w:t>
      </w:r>
      <w:r>
        <w:rPr>
          <w:sz w:val="21"/>
        </w:rPr>
        <w:t>社会工作者</w:t>
      </w:r>
      <w:r>
        <w:rPr>
          <w:sz w:val="21"/>
        </w:rPr>
        <w:t>，</w:t>
      </w:r>
      <w:r>
        <w:rPr>
          <w:sz w:val="21"/>
        </w:rPr>
        <w:t>1名兼职督导</w:t>
      </w:r>
      <w:r>
        <w:rPr>
          <w:sz w:val="21"/>
        </w:rPr>
        <w:t>，该项目一年的所有社工的总服务时间不少于</w:t>
      </w:r>
      <w:r>
        <w:rPr>
          <w:sz w:val="21"/>
        </w:rPr>
        <w:t>9800</w:t>
      </w:r>
      <w:r>
        <w:rPr>
          <w:sz w:val="21"/>
        </w:rPr>
        <w:t>小时，所需达到的基本指标量化如下：服务时数（全年）</w:t>
      </w:r>
    </w:p>
    <w:tbl>
      <w:tblPr>
        <w:tblW w:w="0" w:type="auto"/>
        <w:tblBorders>
          <w:top w:val="none" w:color="000000" w:sz="4"/>
          <w:left w:val="none" w:color="000000" w:sz="4"/>
          <w:bottom w:val="none" w:color="000000" w:sz="4"/>
          <w:right w:val="none" w:color="000000" w:sz="4"/>
          <w:insideH w:val="none"/>
          <w:insideV w:val="none"/>
        </w:tblBorders>
      </w:tblPr>
      <w:tblGrid>
        <w:gridCol w:w="4570"/>
        <w:gridCol w:w="2110"/>
        <w:gridCol w:w="1626"/>
      </w:tblGrid>
      <w:tr>
        <w:tc>
          <w:tcPr>
            <w:tcW w:type="dxa" w:w="4570"/>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2110"/>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626"/>
            <w:tcBorders>
              <w:top w:val="single" w:color="000000" w:sz="4"/>
              <w:left w:val="single" w:color="000000" w:sz="4"/>
              <w:bottom w:val="single" w:color="000000" w:sz="4"/>
              <w:right w:val="single" w:color="000000" w:sz="4"/>
            </w:tcBorders>
            <w:vAlign w:val="top"/>
          </w:tcPr>
          <w:p>
            <w:pPr>
              <w:jc w:val="center"/>
            </w:pPr>
            <w:r>
              <w:rPr>
                <w:b/>
                <w:sz w:val="21"/>
              </w:rPr>
              <w:t>工时</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精准化日常服务</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4120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个案服务</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1390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经验提炼</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420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其他服务</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960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社会工作相关行政工作</w:t>
            </w:r>
          </w:p>
        </w:tc>
        <w:tc>
          <w:tcPr>
            <w:tcW w:type="dxa" w:w="2110"/>
            <w:tcBorders>
              <w:top w:val="none" w:color="000000" w:sz="4"/>
              <w:left w:val="singl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single" w:color="000000" w:sz="4"/>
              <w:bottom w:val="single" w:color="000000" w:sz="4"/>
              <w:right w:val="single" w:color="000000" w:sz="4"/>
            </w:tcBorders>
            <w:vAlign w:val="top"/>
          </w:tcPr>
          <w:p>
            <w:pPr>
              <w:jc w:val="center"/>
            </w:pPr>
            <w:r>
              <w:rPr>
                <w:sz w:val="21"/>
              </w:rPr>
              <w:t>950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协助完成社会救助指定工作任务</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1960</w:t>
            </w:r>
          </w:p>
        </w:tc>
      </w:tr>
      <w:tr>
        <w:tc>
          <w:tcPr>
            <w:tcW w:type="dxa" w:w="4570"/>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110"/>
            <w:tcBorders>
              <w:top w:val="none" w:color="000000" w:sz="4"/>
              <w:left w:val="none" w:color="000000" w:sz="4"/>
              <w:bottom w:val="single" w:color="000000" w:sz="4"/>
              <w:right w:val="single" w:color="000000" w:sz="4"/>
            </w:tcBorders>
            <w:vAlign w:val="top"/>
          </w:tcPr>
          <w:p>
            <w:pPr>
              <w:jc w:val="center"/>
            </w:pPr>
            <w:r>
              <w:rPr>
                <w:sz w:val="21"/>
              </w:rPr>
              <w:t>小时</w:t>
            </w:r>
          </w:p>
        </w:tc>
        <w:tc>
          <w:tcPr>
            <w:tcW w:type="dxa" w:w="1626"/>
            <w:tcBorders>
              <w:top w:val="none" w:color="000000" w:sz="4"/>
              <w:left w:val="none" w:color="000000" w:sz="4"/>
              <w:bottom w:val="single" w:color="000000" w:sz="4"/>
              <w:right w:val="single" w:color="000000" w:sz="4"/>
            </w:tcBorders>
            <w:vAlign w:val="top"/>
          </w:tcPr>
          <w:p>
            <w:pPr>
              <w:jc w:val="center"/>
            </w:pPr>
            <w:r>
              <w:rPr>
                <w:sz w:val="21"/>
              </w:rPr>
              <w:t>9800</w:t>
            </w:r>
          </w:p>
        </w:tc>
      </w:tr>
    </w:tbl>
    <w:p>
      <w:r>
        <w:rPr>
          <w:b/>
          <w:color w:val="000000"/>
          <w:sz w:val="21"/>
        </w:rPr>
        <w:t>五、</w:t>
      </w:r>
      <w:r>
        <w:rPr>
          <w:b/>
          <w:color w:val="000000"/>
          <w:sz w:val="21"/>
        </w:rPr>
        <w:t>人员配备</w:t>
      </w:r>
    </w:p>
    <w:p>
      <w:pPr>
        <w:jc w:val="both"/>
      </w:pPr>
      <w:r>
        <w:rPr>
          <w:color w:val="000000"/>
          <w:sz w:val="21"/>
        </w:rPr>
        <w:t>1.</w:t>
      </w:r>
      <w:r>
        <w:rPr>
          <w:color w:val="000000"/>
          <w:sz w:val="21"/>
        </w:rPr>
        <w:t>项目最低人力配比如下：</w:t>
      </w:r>
    </w:p>
    <w:tbl>
      <w:tblPr>
        <w:tblW w:w="0" w:type="auto"/>
        <w:tblBorders>
          <w:top w:val="none" w:color="000000" w:sz="4"/>
          <w:left w:val="none" w:color="000000" w:sz="4"/>
          <w:bottom w:val="none" w:color="000000" w:sz="4"/>
          <w:right w:val="none" w:color="000000" w:sz="4"/>
          <w:insideH w:val="none"/>
          <w:insideV w:val="none"/>
        </w:tblBorders>
      </w:tblPr>
      <w:tblGrid>
        <w:gridCol w:w="915"/>
        <w:gridCol w:w="1764"/>
        <w:gridCol w:w="1050"/>
        <w:gridCol w:w="4577"/>
      </w:tblGrid>
      <w:tr>
        <w:tc>
          <w:tcPr>
            <w:tcW w:type="dxa" w:w="91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64"/>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105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4577"/>
            <w:tcBorders>
              <w:top w:val="single" w:color="000000" w:sz="4"/>
              <w:left w:val="single" w:color="000000" w:sz="4"/>
              <w:bottom w:val="single" w:color="000000" w:sz="4"/>
              <w:right w:val="single" w:color="000000" w:sz="4"/>
            </w:tcBorders>
            <w:vAlign w:val="top"/>
          </w:tcPr>
          <w:p>
            <w:pPr>
              <w:jc w:val="center"/>
            </w:pPr>
            <w:r>
              <w:rPr>
                <w:sz w:val="21"/>
              </w:rPr>
              <w:t>基本要求</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1050"/>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4577"/>
            <w:tcBorders>
              <w:top w:val="none" w:color="000000" w:sz="4"/>
              <w:left w:val="single" w:color="000000" w:sz="4"/>
              <w:bottom w:val="single" w:color="000000" w:sz="4"/>
              <w:right w:val="single" w:color="000000" w:sz="4"/>
            </w:tcBorders>
            <w:vAlign w:val="top"/>
          </w:tcPr>
          <w:p>
            <w:pPr>
              <w:jc w:val="center"/>
            </w:pPr>
            <w:r>
              <w:rPr>
                <w:sz w:val="21"/>
              </w:rPr>
              <w:t>取得社会工作师（中级或以上）证书或大学本科以上学历（社会工作及相关专业）</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项目督导</w:t>
            </w:r>
          </w:p>
        </w:tc>
        <w:tc>
          <w:tcPr>
            <w:tcW w:type="dxa" w:w="1050"/>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4577"/>
            <w:tcBorders>
              <w:top w:val="none" w:color="000000" w:sz="4"/>
              <w:left w:val="single" w:color="000000" w:sz="4"/>
              <w:bottom w:val="single" w:color="000000" w:sz="4"/>
              <w:right w:val="single" w:color="000000" w:sz="4"/>
            </w:tcBorders>
            <w:vAlign w:val="top"/>
          </w:tcPr>
          <w:p>
            <w:pPr>
              <w:jc w:val="center"/>
            </w:pPr>
            <w:r>
              <w:rPr>
                <w:sz w:val="21"/>
              </w:rPr>
              <w:t>考取督导证（</w:t>
            </w:r>
            <w:r>
              <w:rPr>
                <w:sz w:val="21"/>
              </w:rPr>
              <w:t>取得相关督导资格</w:t>
            </w:r>
            <w:r>
              <w:rPr>
                <w:sz w:val="21"/>
              </w:rPr>
              <w:t>）</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项目专员</w:t>
            </w:r>
          </w:p>
        </w:tc>
        <w:tc>
          <w:tcPr>
            <w:tcW w:type="dxa" w:w="1050"/>
            <w:tcBorders>
              <w:top w:val="none" w:color="000000" w:sz="4"/>
              <w:left w:val="single" w:color="000000" w:sz="4"/>
              <w:bottom w:val="single" w:color="000000" w:sz="4"/>
              <w:right w:val="single" w:color="000000" w:sz="4"/>
            </w:tcBorders>
            <w:vAlign w:val="top"/>
          </w:tcPr>
          <w:p>
            <w:pPr>
              <w:jc w:val="center"/>
            </w:pPr>
            <w:r>
              <w:rPr>
                <w:sz w:val="21"/>
              </w:rPr>
              <w:t>2名</w:t>
            </w:r>
          </w:p>
        </w:tc>
        <w:tc>
          <w:tcPr>
            <w:tcW w:type="dxa" w:w="4577"/>
            <w:tcBorders>
              <w:top w:val="none" w:color="000000" w:sz="4"/>
              <w:left w:val="single" w:color="000000" w:sz="4"/>
              <w:bottom w:val="single" w:color="000000" w:sz="4"/>
              <w:right w:val="single" w:color="000000" w:sz="4"/>
            </w:tcBorders>
            <w:vAlign w:val="top"/>
          </w:tcPr>
          <w:p>
            <w:pPr>
              <w:jc w:val="center"/>
            </w:pPr>
            <w:r>
              <w:rPr>
                <w:sz w:val="21"/>
              </w:rPr>
              <w:t>取得助理社会工作师（初级或以上）证书或大学本科以上学历（社会工作及相关专业）</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64"/>
            <w:tcBorders>
              <w:top w:val="none" w:color="000000" w:sz="4"/>
              <w:left w:val="single" w:color="000000" w:sz="4"/>
              <w:bottom w:val="single" w:color="000000" w:sz="4"/>
              <w:right w:val="single" w:color="000000" w:sz="4"/>
            </w:tcBorders>
            <w:vAlign w:val="top"/>
          </w:tcPr>
          <w:p>
            <w:pPr>
              <w:jc w:val="center"/>
            </w:pPr>
            <w:r>
              <w:rPr>
                <w:sz w:val="21"/>
              </w:rPr>
              <w:t>社工助理</w:t>
            </w:r>
          </w:p>
        </w:tc>
        <w:tc>
          <w:tcPr>
            <w:tcW w:type="dxa" w:w="1050"/>
            <w:tcBorders>
              <w:top w:val="none" w:color="000000" w:sz="4"/>
              <w:left w:val="single" w:color="000000" w:sz="4"/>
              <w:bottom w:val="single" w:color="000000" w:sz="4"/>
              <w:right w:val="single" w:color="000000" w:sz="4"/>
            </w:tcBorders>
            <w:vAlign w:val="top"/>
          </w:tcPr>
          <w:p>
            <w:pPr>
              <w:jc w:val="center"/>
            </w:pPr>
            <w:r>
              <w:rPr>
                <w:sz w:val="21"/>
              </w:rPr>
              <w:t>2名</w:t>
            </w:r>
          </w:p>
        </w:tc>
        <w:tc>
          <w:tcPr>
            <w:tcW w:type="dxa" w:w="4577"/>
            <w:tcBorders>
              <w:top w:val="none" w:color="000000" w:sz="4"/>
              <w:left w:val="single" w:color="000000" w:sz="4"/>
              <w:bottom w:val="single" w:color="000000" w:sz="4"/>
              <w:right w:val="single" w:color="000000" w:sz="4"/>
            </w:tcBorders>
            <w:vAlign w:val="top"/>
          </w:tcPr>
          <w:p>
            <w:pPr>
              <w:jc w:val="center"/>
            </w:pPr>
            <w:r>
              <w:rPr>
                <w:sz w:val="21"/>
              </w:rPr>
              <w:t>大专或以上学历</w:t>
            </w:r>
          </w:p>
        </w:tc>
      </w:tr>
    </w:tbl>
    <w:p>
      <w:pPr>
        <w:jc w:val="both"/>
      </w:pPr>
      <w:r>
        <w:rPr>
          <w:color w:val="000000"/>
          <w:sz w:val="21"/>
        </w:rPr>
        <w:t>2.</w:t>
      </w:r>
      <w:r>
        <w:rPr>
          <w:color w:val="000000"/>
          <w:sz w:val="21"/>
        </w:rPr>
        <w:t>项目负责人负责项目的统筹和领导，项目负责人要及时有效地跟甲方保持良好沟通，并具备将禅城区社会救助服务推向更高水平的宏观理念及团队管理经验。</w:t>
      </w:r>
    </w:p>
    <w:p>
      <w:pPr>
        <w:jc w:val="both"/>
      </w:pPr>
      <w:r>
        <w:rPr>
          <w:color w:val="000000"/>
          <w:sz w:val="21"/>
        </w:rPr>
        <w:t>3.</w:t>
      </w:r>
      <w:r>
        <w:rPr>
          <w:color w:val="000000"/>
          <w:sz w:val="21"/>
        </w:rPr>
        <w:t>要求所有岗位人员要熟练掌握跟服务对象相关的政策内容。</w:t>
      </w:r>
    </w:p>
    <w:p>
      <w:pPr>
        <w:jc w:val="both"/>
      </w:pPr>
      <w:r>
        <w:rPr>
          <w:b/>
          <w:sz w:val="21"/>
        </w:rPr>
        <w:t>注：上述岗位要求是须达到的最低资质（资历）要求，允许高资质（资历）低聘。</w:t>
      </w:r>
    </w:p>
    <w:p>
      <w:r>
        <w:rPr>
          <w:b/>
          <w:color w:val="000000"/>
          <w:sz w:val="21"/>
        </w:rPr>
        <w:t>六、</w:t>
      </w:r>
      <w:r>
        <w:rPr>
          <w:b/>
          <w:color w:val="000000"/>
          <w:sz w:val="21"/>
        </w:rPr>
        <w:t>质量要求</w:t>
      </w:r>
    </w:p>
    <w:p>
      <w:pPr>
        <w:jc w:val="both"/>
      </w:pPr>
      <w:r>
        <w:rPr>
          <w:color w:val="000000"/>
          <w:sz w:val="21"/>
        </w:rPr>
        <w:t>1.</w:t>
      </w:r>
      <w:r>
        <w:rPr>
          <w:color w:val="000000"/>
          <w:sz w:val="21"/>
        </w:rPr>
        <w:t>具有清晰明确的服务目标，针对项目需求能突出工作重点；具有完整详细地服务实施计划，确立合理和可操作的服务指标量；服务模式、方法具有科学性、操作性与合理性，确保根据项目实际需求有针对性地提供优质服务。项目管理必须有一定的制度要求和规范。财务核算和资金使用规范，项目结束时有结算及审计报告。</w:t>
      </w:r>
    </w:p>
    <w:p>
      <w:pPr>
        <w:jc w:val="both"/>
      </w:pPr>
      <w:r>
        <w:rPr>
          <w:color w:val="000000"/>
          <w:sz w:val="21"/>
        </w:rPr>
        <w:t>2.</w:t>
      </w:r>
      <w:r>
        <w:rPr>
          <w:color w:val="000000"/>
          <w:sz w:val="21"/>
        </w:rPr>
        <w:t>乙方应具有与政府部门和镇、街道及村（居委）沟通合作的良好经验，能积极回应甲方的要求，不断改善服务水平，提升服务质量。</w:t>
      </w:r>
    </w:p>
    <w:p>
      <w:pPr>
        <w:jc w:val="both"/>
      </w:pPr>
      <w:r>
        <w:rPr>
          <w:color w:val="000000"/>
          <w:sz w:val="21"/>
        </w:rPr>
        <w:t>3.</w:t>
      </w:r>
      <w:r>
        <w:rPr>
          <w:color w:val="000000"/>
          <w:sz w:val="21"/>
        </w:rPr>
        <w:t>乙方要根据《佛山市禅城区人民政府办公室关于印发禅城区政府购买社会工作服务预算编制指引、禅城区政府购买社会工作服务组织实施指引的通知》（佛禅府办函〔</w:t>
      </w:r>
      <w:r>
        <w:rPr>
          <w:color w:val="000000"/>
          <w:sz w:val="21"/>
        </w:rPr>
        <w:t>2016〕114号，如有最新通知，以最新为准）的规范约束，有效利用资金，最大程度提供服务。</w:t>
      </w:r>
    </w:p>
    <w:p>
      <w:pPr>
        <w:jc w:val="both"/>
      </w:pPr>
      <w:r>
        <w:rPr>
          <w:color w:val="000000"/>
          <w:sz w:val="21"/>
        </w:rPr>
        <w:t>4.</w:t>
      </w:r>
      <w:r>
        <w:rPr>
          <w:color w:val="000000"/>
          <w:sz w:val="21"/>
        </w:rPr>
        <w:t>乙方需要清晰禅城区社会救助服务对象的基础数据，对基础数据进行全面收集建档并系统分析，对服务对象的人口学特征、社会学特征、地理分布、入保原因等进行系统的分析与研究。在数据收集的基础上为服务对象进行分层分类管理，从而确定服务过程中的优先次序，选取重点服务群体，并进行详细建档，为后续服务提供基础平台。而在后续跟进流程上，需要有针对性地跟进机制、跟进频率以及跟进规范，保证跟进流程清晰化，提升整体服务的有效性。</w:t>
      </w:r>
    </w:p>
    <w:p>
      <w:pPr>
        <w:jc w:val="both"/>
      </w:pPr>
      <w:r>
        <w:rPr>
          <w:color w:val="000000"/>
          <w:sz w:val="21"/>
        </w:rPr>
        <w:t>5.</w:t>
      </w:r>
      <w:r>
        <w:rPr>
          <w:color w:val="000000"/>
          <w:sz w:val="21"/>
        </w:rPr>
        <w:t>乙方每月根据甲方社会救助科提供的新增、减退名单及时更新数据库，每季度书面反馈数据分析结果及下一步服务计划。</w:t>
      </w:r>
    </w:p>
    <w:p>
      <w:pPr>
        <w:jc w:val="both"/>
      </w:pPr>
      <w:r>
        <w:rPr>
          <w:color w:val="000000"/>
          <w:sz w:val="21"/>
        </w:rPr>
        <w:t>6.</w:t>
      </w:r>
      <w:r>
        <w:rPr>
          <w:color w:val="000000"/>
          <w:sz w:val="21"/>
        </w:rPr>
        <w:t>乙方要发挥主观能动性，多走出去，主动发现，主动链接资源，要与全区各镇街、村（居）委会建立良好互动关系。</w:t>
      </w:r>
    </w:p>
    <w:p>
      <w:pPr>
        <w:jc w:val="both"/>
      </w:pPr>
      <w:r>
        <w:rPr>
          <w:color w:val="000000"/>
          <w:sz w:val="21"/>
        </w:rPr>
        <w:t>7.</w:t>
      </w:r>
      <w:r>
        <w:rPr>
          <w:color w:val="000000"/>
          <w:sz w:val="21"/>
        </w:rPr>
        <w:t>乙方在提供服务期间如需调整指标内容，要经过甲方审批通过后再调整，不得私自调整服务内容、经费支出、人员安排等方面条款。</w:t>
      </w:r>
    </w:p>
    <w:p>
      <w:pPr>
        <w:jc w:val="both"/>
      </w:pPr>
      <w:r>
        <w:rPr>
          <w:color w:val="000000"/>
          <w:sz w:val="21"/>
        </w:rPr>
        <w:t>8.</w:t>
      </w:r>
      <w:r>
        <w:rPr>
          <w:color w:val="000000"/>
          <w:sz w:val="21"/>
        </w:rPr>
        <w:t>乙方在成交一个月之内向甲方提交年度服务计划、经费支出预算明细表（专款专用、不得列支固定资产）、人员配备及岗位说明情况表。</w:t>
      </w:r>
    </w:p>
    <w:p>
      <w:pPr>
        <w:jc w:val="both"/>
      </w:pPr>
      <w:r>
        <w:rPr>
          <w:color w:val="000000"/>
          <w:sz w:val="21"/>
        </w:rPr>
        <w:t>9.</w:t>
      </w:r>
      <w:r>
        <w:rPr>
          <w:color w:val="000000"/>
          <w:sz w:val="21"/>
        </w:rPr>
        <w:t>乙方应在甲方同意的情况下进行有关本项目的宣传报道，且每季度最少提炼一次典型案例或活动供甲方宣传报道。</w:t>
      </w:r>
    </w:p>
    <w:p>
      <w:pPr>
        <w:jc w:val="both"/>
      </w:pPr>
      <w:r>
        <w:rPr>
          <w:color w:val="000000"/>
          <w:sz w:val="21"/>
        </w:rPr>
        <w:t>10.</w:t>
      </w:r>
      <w:r>
        <w:rPr>
          <w:color w:val="000000"/>
          <w:sz w:val="21"/>
        </w:rPr>
        <w:t>乙方应严格保护服务对象的隐私，杜绝一切形式的所有对外泄露。</w:t>
      </w:r>
    </w:p>
    <w:p>
      <w:pPr>
        <w:ind w:firstLine="422"/>
        <w:jc w:val="both"/>
      </w:pPr>
      <w:r>
        <w:rPr>
          <w:b/>
          <w:sz w:val="21"/>
        </w:rPr>
        <w:t>注：以上</w:t>
      </w:r>
      <w:r>
        <w:rPr>
          <w:b/>
          <w:sz w:val="21"/>
        </w:rPr>
        <w:t>10条作为本项目每年中、末期评估的重要参照，甲方或甲方委托第三方机构每年中期与末期对乙方进行评估。</w:t>
      </w:r>
    </w:p>
    <w:p>
      <w:r>
        <w:rPr>
          <w:b/>
          <w:color w:val="000000"/>
          <w:sz w:val="21"/>
        </w:rPr>
        <w:t>七、</w:t>
      </w:r>
      <w:r>
        <w:rPr>
          <w:b/>
          <w:color w:val="000000"/>
          <w:sz w:val="21"/>
        </w:rPr>
        <w:t>其他要求</w:t>
      </w:r>
    </w:p>
    <w:p>
      <w:pPr>
        <w:jc w:val="both"/>
      </w:pPr>
      <w:r>
        <w:rPr>
          <w:color w:val="000000"/>
          <w:sz w:val="21"/>
        </w:rPr>
        <w:t>1.</w:t>
      </w:r>
      <w:r>
        <w:rPr>
          <w:color w:val="000000"/>
          <w:sz w:val="21"/>
        </w:rPr>
        <w:t>乙方的机构理事会人员组成合理且</w:t>
      </w:r>
      <w:r>
        <w:rPr>
          <w:color w:val="000000"/>
          <w:sz w:val="21"/>
        </w:rPr>
        <w:t>60%及以上理事会成员须具有专业社会工作专业背景、工作经验和专业技术资格，以提供理事会成员的社会工作、社会学（心理学）专业的学历证或职称证书，或《社会工作者职业水平证书》复印件为准。</w:t>
      </w:r>
    </w:p>
    <w:p>
      <w:pPr>
        <w:jc w:val="both"/>
      </w:pPr>
      <w:r>
        <w:rPr>
          <w:color w:val="000000"/>
          <w:sz w:val="21"/>
        </w:rPr>
        <w:t>2.</w:t>
      </w:r>
      <w:r>
        <w:rPr>
          <w:color w:val="000000"/>
          <w:sz w:val="21"/>
        </w:rPr>
        <w:t>项目人员到岗时间：项目负责人须在项目启动时到岗，其余人员须在合同签订后</w:t>
      </w:r>
      <w:r>
        <w:rPr>
          <w:color w:val="000000"/>
          <w:sz w:val="21"/>
        </w:rPr>
        <w:t>1个月内全员到岗。</w:t>
      </w:r>
    </w:p>
    <w:p>
      <w:pPr>
        <w:jc w:val="both"/>
      </w:pPr>
      <w:r>
        <w:rPr>
          <w:sz w:val="21"/>
        </w:rPr>
        <w:t>3.</w:t>
      </w:r>
      <w:r>
        <w:rPr>
          <w:sz w:val="21"/>
        </w:rPr>
        <w:t>因本项目服务对象包含部分精神障碍患者，服务内容涉及到入户和街区巡查，建议服务人员男性比例不少于</w:t>
      </w:r>
      <w:r>
        <w:rPr>
          <w:sz w:val="21"/>
        </w:rPr>
        <w:t>40%。</w:t>
      </w:r>
    </w:p>
    <w:p>
      <w:r>
        <w:rPr>
          <w:b/>
          <w:color w:val="000000"/>
          <w:sz w:val="21"/>
        </w:rPr>
        <w:t>八、</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w:t>
      </w:r>
      <w:r>
        <w:rPr>
          <w:color w:val="000000"/>
          <w:sz w:val="21"/>
        </w:rPr>
        <w:t>竞争性磋商文件</w:t>
      </w:r>
      <w:r>
        <w:rPr>
          <w:color w:val="000000"/>
          <w:sz w:val="21"/>
        </w:rPr>
        <w:t>和投标</w:t>
      </w:r>
      <w:r>
        <w:rPr>
          <w:color w:val="000000"/>
          <w:sz w:val="21"/>
        </w:rPr>
        <w:t>/响应文件作实质性修改）</w:t>
      </w:r>
    </w:p>
    <w:p>
      <w:r>
        <w:rPr>
          <w:u w:val="single"/>
        </w:rPr>
        <w:t xml:space="preserve">                                                          </w:t>
      </w:r>
      <w:r>
        <w:rPr>
          <w:color w:val="000000"/>
          <w:sz w:val="21"/>
        </w:rPr>
        <w:t>。</w:t>
      </w:r>
    </w:p>
    <w:p>
      <w:r>
        <w:rPr>
          <w:b/>
          <w:color w:val="000000"/>
          <w:sz w:val="21"/>
        </w:rPr>
        <w:t>九、</w:t>
      </w:r>
      <w:r>
        <w:rPr>
          <w:b/>
          <w:color w:val="000000"/>
          <w:sz w:val="21"/>
        </w:rPr>
        <w:t>验收要求：</w:t>
      </w:r>
    </w:p>
    <w:p>
      <w:r>
        <w:rPr>
          <w:color w:val="000000"/>
          <w:sz w:val="21"/>
        </w:rPr>
        <w:t>1.</w:t>
      </w:r>
      <w:r>
        <w:rPr>
          <w:color w:val="000000"/>
          <w:sz w:val="21"/>
        </w:rPr>
        <w:t>甲方在收到乙方项目验收建议之日起</w:t>
      </w:r>
      <w:r>
        <w:rPr>
          <w:color w:val="000000"/>
          <w:sz w:val="21"/>
        </w:rPr>
        <w:t>7个工作日内按照合同的约定对履约情况进行验收。乙方需为验收提供必需的一切条件及相关费用，并提供本项目的相关文档和验收所需资料，积极配合甲方完成验收工作。</w:t>
      </w:r>
    </w:p>
    <w:p>
      <w:r>
        <w:rPr>
          <w:color w:val="000000"/>
          <w:sz w:val="21"/>
        </w:rPr>
        <w:t>2.</w:t>
      </w:r>
      <w:r>
        <w:rPr>
          <w:color w:val="000000"/>
          <w:sz w:val="21"/>
        </w:rPr>
        <w:t>其他验收要求：（补充内容不得对</w:t>
      </w:r>
      <w:r>
        <w:rPr>
          <w:color w:val="000000"/>
          <w:sz w:val="21"/>
        </w:rPr>
        <w:t>竞争性磋商文件</w:t>
      </w:r>
      <w:r>
        <w:rPr>
          <w:color w:val="000000"/>
          <w:sz w:val="21"/>
        </w:rPr>
        <w:t>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十、</w:t>
      </w:r>
      <w:r>
        <w:rPr>
          <w:b/>
          <w:color w:val="000000"/>
          <w:sz w:val="21"/>
        </w:rPr>
        <w:t>知识产权和</w:t>
      </w:r>
      <w:r>
        <w:rPr>
          <w:b/>
          <w:color w:val="000000"/>
          <w:sz w:val="21"/>
        </w:rPr>
        <w:t>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若因此导致甲方被第三方索赔的，乙方须向甲方赔偿甲方的一切损失，包括但不限于甲方支出的律师费、诉讼费、赔偿等。</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十一、</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w:t>
      </w:r>
      <w:r>
        <w:rPr>
          <w:sz w:val="21"/>
        </w:rPr>
        <w:t>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乙方不得将本合同项下的任一服务转包或者分包给第三方，否则视为乙方根本违约，甲方可随时解除合同，并要求乙方按照合同总额的</w:t>
      </w:r>
      <w:r>
        <w:rPr>
          <w:sz w:val="21"/>
        </w:rPr>
        <w:t>30%支付违约金，并赔偿甲方的损失。</w:t>
      </w:r>
    </w:p>
    <w:p>
      <w:pPr>
        <w:jc w:val="both"/>
      </w:pPr>
      <w:r>
        <w:rPr>
          <w:sz w:val="21"/>
        </w:rPr>
        <w:t>5.</w:t>
      </w:r>
      <w:r>
        <w:rPr>
          <w:sz w:val="21"/>
        </w:rPr>
        <w:t>其它违约责任按《中华人民共和国民法典》处理，且违约方应向守约方支付因维权而支出的诉讼费、律师费、鉴定费等合理费用。</w:t>
      </w:r>
    </w:p>
    <w:p>
      <w:r>
        <w:rPr>
          <w:b/>
          <w:color w:val="000000"/>
          <w:sz w:val="21"/>
        </w:rPr>
        <w:t>十二、</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十三、</w:t>
      </w:r>
      <w:r>
        <w:rPr>
          <w:b/>
          <w:color w:val="000000"/>
          <w:sz w:val="21"/>
        </w:rPr>
        <w:t>争议的解决：</w:t>
      </w:r>
    </w:p>
    <w:p>
      <w:r>
        <w:rPr>
          <w:color w:val="000000"/>
          <w:sz w:val="21"/>
        </w:rPr>
        <w:t>1.</w:t>
      </w:r>
      <w:r>
        <w:rPr>
          <w:color w:val="000000"/>
          <w:sz w:val="21"/>
        </w:rPr>
        <w:t>合同履行过程中发生的任何争议，如双方未能通过友好协商解决，向甲方所在地人民法院提起诉讼。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十四、</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十五、</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十六、</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7个工作日内，由甲方按照有关规定将采购合同副本报同级人民政府财政部门（政府采购管理部门）备案。</w:t>
      </w:r>
    </w:p>
    <w:p>
      <w:r>
        <w:rPr>
          <w:b/>
          <w:color w:val="000000"/>
          <w:sz w:val="21"/>
        </w:rPr>
        <w:t>十七、</w:t>
      </w:r>
      <w:r>
        <w:rPr>
          <w:b/>
          <w:color w:val="000000"/>
          <w:sz w:val="21"/>
        </w:rPr>
        <w:t>乙方应提供的资料内容：</w:t>
      </w:r>
    </w:p>
    <w:p>
      <w:r>
        <w:rPr>
          <w:u w:val="single"/>
        </w:rPr>
        <w:t xml:space="preserve">                                                            </w:t>
      </w:r>
      <w:r>
        <w:rPr>
          <w:color w:val="000000"/>
          <w:sz w:val="21"/>
        </w:rPr>
        <w:t>。</w:t>
      </w:r>
    </w:p>
    <w:p>
      <w:r>
        <w:rPr>
          <w:b/>
          <w:color w:val="000000"/>
          <w:sz w:val="21"/>
        </w:rPr>
        <w:t>十八、</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十九、</w:t>
      </w:r>
      <w:r>
        <w:rPr>
          <w:b/>
          <w:color w:val="000000"/>
          <w:sz w:val="21"/>
        </w:rPr>
        <w:t>其它：</w:t>
      </w:r>
    </w:p>
    <w:p>
      <w:r>
        <w:rPr>
          <w:color w:val="000000"/>
          <w:sz w:val="21"/>
        </w:rPr>
        <w:t>1.</w:t>
      </w:r>
      <w:r>
        <w:rPr>
          <w:color w:val="000000"/>
          <w:sz w:val="21"/>
        </w:rPr>
        <w:t>所有经一方或双方签署确认的文件（包括会议纪要、补充协议、往来信函）、</w:t>
      </w:r>
      <w:r>
        <w:rPr>
          <w:color w:val="000000"/>
          <w:sz w:val="21"/>
        </w:rPr>
        <w:t>竞争性磋商文件</w:t>
      </w:r>
      <w:r>
        <w:rPr>
          <w:color w:val="000000"/>
          <w:sz w:val="21"/>
        </w:rPr>
        <w:t>、要约文件和响应承诺文件、合同附件及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4"/>
            <w:tcBorders>
              <w:top w:val="none" w:color="000000" w:sz="4"/>
              <w:left w:val="none" w:color="000000" w:sz="4"/>
              <w:bottom w:val="none" w:color="000000" w:sz="4"/>
              <w:right w:val="none" w:color="000000" w:sz="4"/>
            </w:tcBorders>
          </w:tcPr>
          <w:p>
            <w:r>
              <w:rPr>
                <w:sz w:val="19"/>
              </w:rPr>
              <w:t xml:space="preserve"> </w:t>
            </w:r>
          </w:p>
        </w:tc>
      </w:tr>
      <w:tr>
        <w:tc>
          <w:tcPr>
            <w:tcW w:type="dxa" w:w="4219"/>
            <w:tcBorders>
              <w:top w:val="none" w:color="000000" w:sz="4"/>
              <w:left w:val="none" w:color="000000" w:sz="4"/>
              <w:bottom w:val="single" w:color="FFFFFF" w:sz="4"/>
              <w:right w:val="dashed" w:color="000000" w:sz="4"/>
            </w:tcBorders>
            <w:vAlign w:val="top"/>
          </w:tcPr>
          <w:p/>
          <w:p/>
        </w:tc>
        <w:tc>
          <w:tcPr>
            <w:tcW w:type="dxa" w:w="4087"/>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r>
        <w:rPr/>
        <w:t xml:space="preserve"> </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440604-2022-04023</w:t>
      </w:r>
    </w:p>
    <w:p>
      <w:pPr>
        <w:jc w:val="center"/>
      </w:pPr>
      <w:r>
        <w:rPr>
          <w:b/>
          <w:sz w:val="24"/>
        </w:rPr>
        <w:t>采购项目编号：</w:t>
      </w:r>
      <w:r>
        <w:rPr>
          <w:b/>
          <w:sz w:val="24"/>
        </w:rPr>
        <w:t>XY0222061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禅城区精准社会救助社工服务项目</w:t>
      </w:r>
      <w:r>
        <w:rPr>
          <w:u w:val="single"/>
        </w:rPr>
        <w:t>”</w:t>
      </w:r>
      <w:r>
        <w:rPr/>
        <w:t>项目的竞争性磋商[采购项目编号为：</w:t>
      </w:r>
      <w:r>
        <w:rPr>
          <w:u w:val="single"/>
        </w:rPr>
        <w:t>XY0222061</w:t>
      </w:r>
      <w:r>
        <w:rPr/>
        <w:t>]，我方愿参与响应。</w:t>
      </w:r>
    </w:p>
    <w:p>
      <w:pPr>
        <w:ind w:firstLine="480"/>
      </w:pPr>
      <w:r>
        <w:rPr/>
        <w:t>我方确认收到贵方提供的</w:t>
      </w:r>
      <w:r>
        <w:rPr>
          <w:u w:val="single"/>
        </w:rPr>
        <w:t>“</w:t>
      </w:r>
      <w:r>
        <w:rPr>
          <w:u w:val="single"/>
        </w:rPr>
        <w:t>禅城区精准社会救助社工服务项目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禅城区精准社会救助社工服务项目</w:t>
      </w:r>
      <w:r>
        <w:rPr/>
        <w:t>”项目采购[采购项目编号为</w:t>
      </w:r>
      <w:r>
        <w:rPr/>
        <w:t>XY0222061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禅城区精准社会救助社工服务项目</w:t>
      </w:r>
      <w:r>
        <w:rPr/>
        <w:t>（采购项目编号：</w:t>
      </w:r>
      <w:r>
        <w:rPr/>
        <w:t>XY0222061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禅城区精准社会救助社工服务项目</w:t>
      </w:r>
      <w:r>
        <w:rPr/>
        <w:t>”项目（采购项目编号：</w:t>
      </w:r>
      <w:r>
        <w:rPr/>
        <w:t>XY0222061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